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ff0000"/>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4281805</wp:posOffset>
            </wp:positionH>
            <wp:positionV relativeFrom="paragraph">
              <wp:posOffset>5715</wp:posOffset>
            </wp:positionV>
            <wp:extent cx="1467485" cy="146494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67485" cy="146494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4447</wp:posOffset>
            </wp:positionH>
            <wp:positionV relativeFrom="paragraph">
              <wp:posOffset>5715</wp:posOffset>
            </wp:positionV>
            <wp:extent cx="1438275" cy="143637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38275" cy="1436370"/>
                    </a:xfrm>
                    <a:prstGeom prst="rect"/>
                    <a:ln/>
                  </pic:spPr>
                </pic:pic>
              </a:graphicData>
            </a:graphic>
          </wp:anchor>
        </w:drawing>
      </w:r>
    </w:p>
    <w:p w:rsidR="00000000" w:rsidDel="00000000" w:rsidP="00000000" w:rsidRDefault="00000000" w:rsidRPr="00000000" w14:paraId="00000002">
      <w:pPr>
        <w:jc w:val="center"/>
        <w:rPr>
          <w:b w:val="1"/>
          <w:color w:val="ff0000"/>
          <w:sz w:val="20"/>
          <w:szCs w:val="20"/>
        </w:rPr>
      </w:pPr>
      <w:r w:rsidDel="00000000" w:rsidR="00000000" w:rsidRPr="00000000">
        <w:rPr>
          <w:rtl w:val="0"/>
        </w:rPr>
      </w:r>
    </w:p>
    <w:p w:rsidR="00000000" w:rsidDel="00000000" w:rsidP="00000000" w:rsidRDefault="00000000" w:rsidRPr="00000000" w14:paraId="00000003">
      <w:pPr>
        <w:jc w:val="center"/>
        <w:rPr>
          <w:b w:val="1"/>
          <w:color w:val="ff0000"/>
          <w:sz w:val="64"/>
          <w:szCs w:val="64"/>
        </w:rPr>
      </w:pPr>
      <w:r w:rsidDel="00000000" w:rsidR="00000000" w:rsidRPr="00000000">
        <w:rPr>
          <w:b w:val="1"/>
          <w:color w:val="ff0000"/>
          <w:sz w:val="64"/>
          <w:szCs w:val="64"/>
          <w:rtl w:val="0"/>
        </w:rPr>
        <w:t xml:space="preserve">HEKİM BİRLİĞİ</w:t>
      </w:r>
    </w:p>
    <w:p w:rsidR="00000000" w:rsidDel="00000000" w:rsidP="00000000" w:rsidRDefault="00000000" w:rsidRPr="00000000" w14:paraId="00000004">
      <w:pPr>
        <w:jc w:val="center"/>
        <w:rPr>
          <w:b w:val="1"/>
          <w:color w:val="000000"/>
          <w:sz w:val="24"/>
          <w:szCs w:val="24"/>
        </w:rPr>
      </w:pPr>
      <w:r w:rsidDel="00000000" w:rsidR="00000000" w:rsidRPr="00000000">
        <w:rPr>
          <w:b w:val="1"/>
          <w:color w:val="000000"/>
          <w:sz w:val="24"/>
          <w:szCs w:val="24"/>
          <w:rtl w:val="0"/>
        </w:rPr>
        <w:t xml:space="preserve">Hekim ve Sağlık Çalışanları Birliği</w:t>
      </w:r>
    </w:p>
    <w:p w:rsidR="00000000" w:rsidDel="00000000" w:rsidP="00000000" w:rsidRDefault="00000000" w:rsidRPr="00000000" w14:paraId="00000005">
      <w:pPr>
        <w:jc w:val="center"/>
        <w:rPr>
          <w:b w:val="1"/>
          <w:color w:val="000000"/>
          <w:sz w:val="24"/>
          <w:szCs w:val="24"/>
        </w:rPr>
      </w:pPr>
      <w:r w:rsidDel="00000000" w:rsidR="00000000" w:rsidRPr="00000000">
        <w:rPr>
          <w:b w:val="1"/>
          <w:color w:val="000000"/>
          <w:sz w:val="24"/>
          <w:szCs w:val="24"/>
          <w:rtl w:val="0"/>
        </w:rPr>
        <w:t xml:space="preserve">Sağlık ve Sosyal Hizmetler Sendikası</w:t>
      </w:r>
    </w:p>
    <w:p w:rsidR="00000000" w:rsidDel="00000000" w:rsidP="00000000" w:rsidRDefault="00000000" w:rsidRPr="00000000" w14:paraId="00000006">
      <w:pPr>
        <w:rPr>
          <w:b w:val="1"/>
          <w:sz w:val="20"/>
          <w:szCs w:val="20"/>
        </w:rPr>
      </w:pPr>
      <w:r w:rsidDel="00000000" w:rsidR="00000000" w:rsidRPr="00000000">
        <w:rPr>
          <w:rtl w:val="0"/>
        </w:rPr>
      </w:r>
    </w:p>
    <w:p w:rsidR="00000000" w:rsidDel="00000000" w:rsidP="00000000" w:rsidRDefault="00000000" w:rsidRPr="00000000" w14:paraId="00000007">
      <w:pPr>
        <w:jc w:val="both"/>
        <w:rPr>
          <w:b w:val="1"/>
          <w:sz w:val="20"/>
          <w:szCs w:val="20"/>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T.C</w:t>
      </w:r>
    </w:p>
    <w:p w:rsidR="00000000" w:rsidDel="00000000" w:rsidP="00000000" w:rsidRDefault="00000000" w:rsidRPr="00000000" w14:paraId="00000009">
      <w:pPr>
        <w:rPr>
          <w:b w:val="1"/>
          <w:sz w:val="28"/>
          <w:szCs w:val="28"/>
        </w:rPr>
      </w:pPr>
      <w:r w:rsidDel="00000000" w:rsidR="00000000" w:rsidRPr="00000000">
        <w:rPr>
          <w:rtl w:val="0"/>
        </w:rPr>
      </w:r>
    </w:p>
    <w:p w:rsidR="00000000" w:rsidDel="00000000" w:rsidP="00000000" w:rsidRDefault="00000000" w:rsidRPr="00000000" w14:paraId="0000000A">
      <w:pPr>
        <w:jc w:val="center"/>
        <w:rPr>
          <w:b w:val="1"/>
          <w:sz w:val="20"/>
          <w:szCs w:val="20"/>
        </w:rPr>
      </w:pPr>
      <w:r w:rsidDel="00000000" w:rsidR="00000000" w:rsidRPr="00000000">
        <w:rPr>
          <w:rtl w:val="0"/>
        </w:rPr>
      </w:r>
    </w:p>
    <w:p w:rsidR="00000000" w:rsidDel="00000000" w:rsidP="00000000" w:rsidRDefault="00000000" w:rsidRPr="00000000" w14:paraId="0000000B">
      <w:pPr>
        <w:rPr>
          <w:b w:val="1"/>
          <w:sz w:val="20"/>
          <w:szCs w:val="20"/>
        </w:rPr>
      </w:pPr>
      <w:r w:rsidDel="00000000" w:rsidR="00000000" w:rsidRPr="00000000">
        <w:rPr>
          <w:rtl w:val="0"/>
        </w:rPr>
      </w:r>
    </w:p>
    <w:p w:rsidR="00000000" w:rsidDel="00000000" w:rsidP="00000000" w:rsidRDefault="00000000" w:rsidRPr="00000000" w14:paraId="0000000C">
      <w:pPr>
        <w:rPr>
          <w:b w:val="1"/>
          <w:sz w:val="20"/>
          <w:szCs w:val="20"/>
        </w:rPr>
      </w:pPr>
      <w:r w:rsidDel="00000000" w:rsidR="00000000" w:rsidRPr="00000000">
        <w:rPr>
          <w:rtl w:val="0"/>
        </w:rPr>
      </w:r>
    </w:p>
    <w:p w:rsidR="00000000" w:rsidDel="00000000" w:rsidP="00000000" w:rsidRDefault="00000000" w:rsidRPr="00000000" w14:paraId="0000000D">
      <w:pPr>
        <w:rPr>
          <w:b w:val="1"/>
          <w:sz w:val="20"/>
          <w:szCs w:val="20"/>
        </w:rPr>
      </w:pPr>
      <w:r w:rsidDel="00000000" w:rsidR="00000000" w:rsidRPr="00000000">
        <w:rPr>
          <w:rtl w:val="0"/>
        </w:rPr>
      </w:r>
    </w:p>
    <w:p w:rsidR="00000000" w:rsidDel="00000000" w:rsidP="00000000" w:rsidRDefault="00000000" w:rsidRPr="00000000" w14:paraId="0000000E">
      <w:pPr>
        <w:spacing w:after="200" w:line="276" w:lineRule="auto"/>
        <w:ind w:firstLine="708"/>
        <w:jc w:val="both"/>
        <w:rPr>
          <w:b w:val="1"/>
          <w:sz w:val="24"/>
          <w:szCs w:val="24"/>
        </w:rPr>
      </w:pPr>
      <w:r w:rsidDel="00000000" w:rsidR="00000000" w:rsidRPr="00000000">
        <w:rPr>
          <w:b w:val="1"/>
          <w:sz w:val="24"/>
          <w:szCs w:val="24"/>
          <w:rtl w:val="0"/>
        </w:rPr>
        <w:t xml:space="preserve">Konu: Poliklinikte Hekimlerin Sekreter/Veri Kayıt Sorumlusu Olmadan Çalışmaması Talebi</w:t>
      </w:r>
    </w:p>
    <w:p w:rsidR="00000000" w:rsidDel="00000000" w:rsidP="00000000" w:rsidRDefault="00000000" w:rsidRPr="00000000" w14:paraId="0000000F">
      <w:pPr>
        <w:ind w:firstLine="709"/>
        <w:jc w:val="both"/>
        <w:rPr>
          <w:b w:val="1"/>
          <w:i w:val="1"/>
          <w:color w:val="000000"/>
          <w:sz w:val="24"/>
          <w:szCs w:val="24"/>
        </w:rPr>
      </w:pPr>
      <w:r w:rsidDel="00000000" w:rsidR="00000000" w:rsidRPr="00000000">
        <w:rPr>
          <w:sz w:val="24"/>
          <w:szCs w:val="24"/>
          <w:rtl w:val="0"/>
        </w:rPr>
        <w:t xml:space="preserve">T.C Anayasası </w:t>
      </w:r>
      <w:r w:rsidDel="00000000" w:rsidR="00000000" w:rsidRPr="00000000">
        <w:rPr>
          <w:color w:val="000000"/>
          <w:sz w:val="24"/>
          <w:szCs w:val="24"/>
          <w:rtl w:val="0"/>
        </w:rPr>
        <w:t xml:space="preserve">II. Cumhuriyetin nitelikleri </w:t>
      </w:r>
      <w:r w:rsidDel="00000000" w:rsidR="00000000" w:rsidRPr="00000000">
        <w:rPr>
          <w:b w:val="1"/>
          <w:color w:val="000000"/>
          <w:sz w:val="24"/>
          <w:szCs w:val="24"/>
          <w:rtl w:val="0"/>
        </w:rPr>
        <w:t xml:space="preserve">Madde 2 – </w:t>
      </w:r>
      <w:r w:rsidDel="00000000" w:rsidR="00000000" w:rsidRPr="00000000">
        <w:rPr>
          <w:b w:val="1"/>
          <w:i w:val="1"/>
          <w:color w:val="000000"/>
          <w:sz w:val="24"/>
          <w:szCs w:val="24"/>
          <w:rtl w:val="0"/>
        </w:rPr>
        <w:t xml:space="preserve">Türkiye Cumhuriyeti, toplumun huzuru, milli dayanışma ve adalet anlayışı içinde, insan haklarına saygılı, Atatürk milliyetçiliğine bağlı, başlangıçta belirtilen temel ilkelere dayanan, demokratik, laik ve sosyal bir </w:t>
      </w:r>
      <w:r w:rsidDel="00000000" w:rsidR="00000000" w:rsidRPr="00000000">
        <w:rPr>
          <w:b w:val="1"/>
          <w:i w:val="1"/>
          <w:color w:val="000000"/>
          <w:sz w:val="24"/>
          <w:szCs w:val="24"/>
          <w:u w:val="single"/>
          <w:rtl w:val="0"/>
        </w:rPr>
        <w:t xml:space="preserve">hukuk Devletidir</w:t>
      </w:r>
      <w:r w:rsidDel="00000000" w:rsidR="00000000" w:rsidRPr="00000000">
        <w:rPr>
          <w:b w:val="1"/>
          <w:i w:val="1"/>
          <w:color w:val="000000"/>
          <w:sz w:val="24"/>
          <w:szCs w:val="24"/>
          <w:rtl w:val="0"/>
        </w:rPr>
        <w:t xml:space="preserve">.</w:t>
      </w:r>
    </w:p>
    <w:p w:rsidR="00000000" w:rsidDel="00000000" w:rsidP="00000000" w:rsidRDefault="00000000" w:rsidRPr="00000000" w14:paraId="00000010">
      <w:pPr>
        <w:ind w:firstLine="709"/>
        <w:jc w:val="both"/>
        <w:rPr>
          <w:b w:val="1"/>
          <w:i w:val="1"/>
          <w:color w:val="000000"/>
          <w:sz w:val="24"/>
          <w:szCs w:val="24"/>
        </w:rPr>
      </w:pPr>
      <w:r w:rsidDel="00000000" w:rsidR="00000000" w:rsidRPr="00000000">
        <w:rPr>
          <w:rtl w:val="0"/>
        </w:rPr>
      </w:r>
    </w:p>
    <w:p w:rsidR="00000000" w:rsidDel="00000000" w:rsidP="00000000" w:rsidRDefault="00000000" w:rsidRPr="00000000" w14:paraId="00000011">
      <w:pPr>
        <w:ind w:firstLine="708"/>
        <w:jc w:val="both"/>
        <w:rPr>
          <w:sz w:val="24"/>
          <w:szCs w:val="24"/>
        </w:rPr>
      </w:pPr>
      <w:r w:rsidDel="00000000" w:rsidR="00000000" w:rsidRPr="00000000">
        <w:rPr>
          <w:sz w:val="24"/>
          <w:szCs w:val="24"/>
          <w:rtl w:val="0"/>
        </w:rPr>
        <w:t xml:space="preserve">T.C Anayasa’nın 125. maddesinin </w:t>
      </w:r>
      <w:r w:rsidDel="00000000" w:rsidR="00000000" w:rsidRPr="00000000">
        <w:rPr>
          <w:b w:val="1"/>
          <w:i w:val="1"/>
          <w:sz w:val="24"/>
          <w:szCs w:val="24"/>
          <w:rtl w:val="0"/>
        </w:rPr>
        <w:t xml:space="preserve">birinci fıkrasında, idarenin her türlü eylem ve işlemlerine karşı yargı yolunun açık olduğu; yedinci fıkrasında da idarenin kendi eylem ve işlemlerinden doğan zararı ödemekle yükümlü bulunduğu hüküm altına alınmıştır. Böylelikle idarenin hukuka bağlılığı, yargı denetimi sayesinde etkili biçimde sağlanmış ve idare edilenler, idarenin kanunsuz ve keyfî davranışlarına karşı korunmuştur</w:t>
      </w:r>
      <w:r w:rsidDel="00000000" w:rsidR="00000000" w:rsidRPr="00000000">
        <w:rPr>
          <w:sz w:val="24"/>
          <w:szCs w:val="24"/>
          <w:rtl w:val="0"/>
        </w:rPr>
        <w:t xml:space="preserve">. (Anayasa Mahkemesi 2/5/2018 tarihli toplantısında </w:t>
      </w:r>
      <w:hyperlink r:id="rId7">
        <w:r w:rsidDel="00000000" w:rsidR="00000000" w:rsidRPr="00000000">
          <w:rPr>
            <w:color w:val="000000"/>
            <w:sz w:val="24"/>
            <w:szCs w:val="24"/>
            <w:u w:val="single"/>
            <w:rtl w:val="0"/>
          </w:rPr>
          <w:t xml:space="preserve">E.2018/2 </w:t>
        </w:r>
      </w:hyperlink>
      <w:r w:rsidDel="00000000" w:rsidR="00000000" w:rsidRPr="00000000">
        <w:rPr>
          <w:sz w:val="24"/>
          <w:szCs w:val="24"/>
          <w:rtl w:val="0"/>
        </w:rPr>
        <w:t xml:space="preserve">numaralı dosyada hakkındaki kararı 30/5/2018ND 12/18) </w:t>
      </w:r>
    </w:p>
    <w:p w:rsidR="00000000" w:rsidDel="00000000" w:rsidP="00000000" w:rsidRDefault="00000000" w:rsidRPr="00000000" w14:paraId="00000012">
      <w:pPr>
        <w:ind w:firstLine="708"/>
        <w:jc w:val="both"/>
        <w:rPr>
          <w:sz w:val="24"/>
          <w:szCs w:val="24"/>
        </w:rPr>
      </w:pPr>
      <w:r w:rsidDel="00000000" w:rsidR="00000000" w:rsidRPr="00000000">
        <w:rPr>
          <w:rtl w:val="0"/>
        </w:rPr>
      </w:r>
    </w:p>
    <w:p w:rsidR="00000000" w:rsidDel="00000000" w:rsidP="00000000" w:rsidRDefault="00000000" w:rsidRPr="00000000" w14:paraId="00000013">
      <w:pPr>
        <w:jc w:val="both"/>
        <w:rPr>
          <w:sz w:val="24"/>
          <w:szCs w:val="24"/>
        </w:rPr>
      </w:pPr>
      <w:r w:rsidDel="00000000" w:rsidR="00000000" w:rsidRPr="00000000">
        <w:rPr>
          <w:sz w:val="24"/>
          <w:szCs w:val="24"/>
          <w:rtl w:val="0"/>
        </w:rPr>
        <w:t xml:space="preserve">Görev Tanımlarına İlişkin Genel Düzenlemeler</w:t>
      </w:r>
    </w:p>
    <w:p w:rsidR="00000000" w:rsidDel="00000000" w:rsidP="00000000" w:rsidRDefault="00000000" w:rsidRPr="00000000" w14:paraId="00000014">
      <w:pPr>
        <w:jc w:val="both"/>
        <w:rPr>
          <w:sz w:val="24"/>
          <w:szCs w:val="24"/>
        </w:rPr>
      </w:pPr>
      <w:r w:rsidDel="00000000" w:rsidR="00000000" w:rsidRPr="00000000">
        <w:rPr>
          <w:rtl w:val="0"/>
        </w:rPr>
      </w:r>
    </w:p>
    <w:p w:rsidR="00000000" w:rsidDel="00000000" w:rsidP="00000000" w:rsidRDefault="00000000" w:rsidRPr="00000000" w14:paraId="00000015">
      <w:pPr>
        <w:jc w:val="both"/>
        <w:rPr>
          <w:sz w:val="24"/>
          <w:szCs w:val="24"/>
        </w:rPr>
      </w:pPr>
      <w:r w:rsidDel="00000000" w:rsidR="00000000" w:rsidRPr="00000000">
        <w:rPr>
          <w:sz w:val="24"/>
          <w:szCs w:val="24"/>
          <w:rtl w:val="0"/>
        </w:rPr>
        <w:t xml:space="preserve">1. 27 Mayıs 2014 tarihli Resmi Gazete’de yayımlanarak yürürlüğe giren Sağlık Meslek Mensupları İle Sağlık Hizmetlerinde Çalışan Diğer Meslek Mensuplarının İş ve Görev Tanımlarına Dair Yönetmelik hükümleri ile “sağlık meslek mensuplarının yanında sağlık hizmetlerinde çalışan diğer meslek mensuplarının da iş ve görev tanımları” düzenlenmiştir.</w:t>
        <w:br w:type="textWrapping"/>
        <w:br w:type="textWrapping"/>
        <w:t xml:space="preserve">2. Anılan Yönetmelik Ek-1 liste ile “Sağlık meslek mensuplarının unvanlara göre iş ve görev tanımları” ; Ek-2 liste ile “Sağlık hizmetlerinde çalışan diğer meslek mensuplarının unvanlara göre iş ve görev tanımları” düzenlenmiştir.</w:t>
      </w:r>
    </w:p>
    <w:p w:rsidR="00000000" w:rsidDel="00000000" w:rsidP="00000000" w:rsidRDefault="00000000" w:rsidRPr="00000000" w14:paraId="00000016">
      <w:pPr>
        <w:jc w:val="both"/>
        <w:rPr>
          <w:sz w:val="24"/>
          <w:szCs w:val="24"/>
        </w:rPr>
      </w:pPr>
      <w:r w:rsidDel="00000000" w:rsidR="00000000" w:rsidRPr="00000000">
        <w:rPr>
          <w:sz w:val="24"/>
          <w:szCs w:val="24"/>
          <w:rtl w:val="0"/>
        </w:rPr>
        <w:br w:type="textWrapping"/>
        <w:t xml:space="preserve">Tabip ve uzman tabibin iş ve görevi, “Tıp ve uzmanlık eğitimi sırasında kazanmış olduğu bilgi, beceri ve tutum çerçevesinde, tıbbi ilke ve yöntemleri uygulayarak birey ve toplumu sağlık sorunlarından, hastalıklardan ve yaralanmalardan koruyucu tedbirleri almak, tanı, tedavi ve rehabilitasyon uygulamaları yapmak ve olası komplikasyonların önlenmesi için çalışmak” başta olmak üzere 6 madde halinde Ek-1 de sayılmıştır.</w:t>
      </w:r>
    </w:p>
    <w:p w:rsidR="00000000" w:rsidDel="00000000" w:rsidP="00000000" w:rsidRDefault="00000000" w:rsidRPr="00000000" w14:paraId="00000017">
      <w:pPr>
        <w:jc w:val="both"/>
        <w:rPr>
          <w:sz w:val="24"/>
          <w:szCs w:val="24"/>
        </w:rPr>
      </w:pPr>
      <w:r w:rsidDel="00000000" w:rsidR="00000000" w:rsidRPr="00000000">
        <w:rPr>
          <w:rtl w:val="0"/>
        </w:rPr>
      </w:r>
    </w:p>
    <w:p w:rsidR="00000000" w:rsidDel="00000000" w:rsidP="00000000" w:rsidRDefault="00000000" w:rsidRPr="00000000" w14:paraId="00000018">
      <w:pPr>
        <w:jc w:val="both"/>
        <w:rPr>
          <w:sz w:val="24"/>
          <w:szCs w:val="24"/>
        </w:rPr>
      </w:pPr>
      <w:r w:rsidDel="00000000" w:rsidR="00000000" w:rsidRPr="00000000">
        <w:rPr>
          <w:rtl w:val="0"/>
        </w:rPr>
      </w:r>
    </w:p>
    <w:p w:rsidR="00000000" w:rsidDel="00000000" w:rsidP="00000000" w:rsidRDefault="00000000" w:rsidRPr="00000000" w14:paraId="00000019">
      <w:pPr>
        <w:jc w:val="both"/>
        <w:rPr>
          <w:sz w:val="24"/>
          <w:szCs w:val="24"/>
        </w:rPr>
      </w:pPr>
      <w:r w:rsidDel="00000000" w:rsidR="00000000" w:rsidRPr="00000000">
        <w:rPr>
          <w:rtl w:val="0"/>
        </w:rPr>
      </w:r>
    </w:p>
    <w:p w:rsidR="00000000" w:rsidDel="00000000" w:rsidP="00000000" w:rsidRDefault="00000000" w:rsidRPr="00000000" w14:paraId="0000001A">
      <w:pPr>
        <w:jc w:val="both"/>
        <w:rPr>
          <w:sz w:val="24"/>
          <w:szCs w:val="24"/>
        </w:rPr>
      </w:pPr>
      <w:r w:rsidDel="00000000" w:rsidR="00000000" w:rsidRPr="00000000">
        <w:rPr>
          <w:sz w:val="24"/>
          <w:szCs w:val="24"/>
          <w:rtl w:val="0"/>
        </w:rPr>
        <w:br w:type="textWrapping"/>
        <w:t xml:space="preserve">Yönetmelik Ek-2 listede ise Tıbbi Sekreterin iş ve görevleri tanımlanmış olup bu görevler arasında “Hastaya ait tıbbi ve idari kayıtları tutmak, elektronik ve/veya sesli ortamlara kayıt edilen tıbbi verileri tıbbi belgelere dönüştürmek” de sayılmıştır.</w:t>
        <w:br w:type="textWrapping"/>
        <w:br w:type="textWrapping"/>
        <w:t xml:space="preserve">3. Yataklı Tedavi Kurumları İşletme Yönetmeliği’nin “Tıbbi Sekreterin Görev ve Yetkileri” başlıklı 160. maddesinde “ Tıbbi sekreter, lise veya dengi okul mezunu daktilobilir personeldir. Hasta müşahade kağıtlarını, tıbbi raporları ve tıbbi mesleki mektupları tabiplerin söyledikleri şekilde ve usulüne uygun olarak daktilo ile yazar.” hükmüne amir olup,</w:t>
        <w:br w:type="textWrapping"/>
        <w:br w:type="textWrapping"/>
        <w:t xml:space="preserve">Aynı Yönetmeliğin “Baştabibin Görev ve Yetkileri” başlıklı 110. maddesinde de;</w:t>
        <w:br w:type="textWrapping"/>
        <w:br w:type="textWrapping"/>
        <w:t xml:space="preserve">“a) Kurumun tıbbi, idari ve eğitim hizmetlerinin görevlilerce en iyi şekilde yürütülmesini sağlar.”</w:t>
        <w:br w:type="textWrapping"/>
        <w:t xml:space="preserve">b) Kurumun verimli olarak çalıştırılması, işlerin sürat ve kolaylık içinde yapılması, kaliteyi düşürmeden ekonomi sağlanması ile hizmeti olabilecek en yüksek düzeye çıkarmak için gerekli tedbirleri alır.</w:t>
        <w:br w:type="textWrapping"/>
        <w:t xml:space="preserve">c) Kanun, tüzük, yönetmelik, kararname, resmi emirler hükümlerine uyarak iş görür, Kuruma ait bütün işlerde muhatap ve haberleşmeye yetkili tek mercidir.”düzenlemeleri mevcuttur.</w:t>
        <w:br w:type="textWrapping"/>
        <w:br w:type="textWrapping"/>
        <w:t xml:space="preserve">Yukarıdaki hükümler çerçevesinde,</w:t>
      </w:r>
    </w:p>
    <w:p w:rsidR="00000000" w:rsidDel="00000000" w:rsidP="00000000" w:rsidRDefault="00000000" w:rsidRPr="00000000" w14:paraId="0000001B">
      <w:pPr>
        <w:jc w:val="both"/>
        <w:rPr>
          <w:sz w:val="24"/>
          <w:szCs w:val="24"/>
        </w:rPr>
      </w:pPr>
      <w:r w:rsidDel="00000000" w:rsidR="00000000" w:rsidRPr="00000000">
        <w:rPr>
          <w:sz w:val="24"/>
          <w:szCs w:val="24"/>
          <w:rtl w:val="0"/>
        </w:rPr>
        <w:br w:type="textWrapping"/>
        <w:t xml:space="preserve">· Üyemizin, ilgili Mevzuatta belirlenen iş ve görev tanımına uygun olarak, tanı, teşhis, tedavi, koruyucu tedbir almak, komplikasyonları önlemek gibi temel iş ve sorumluluğunun bulunduğu,</w:t>
      </w:r>
    </w:p>
    <w:p w:rsidR="00000000" w:rsidDel="00000000" w:rsidP="00000000" w:rsidRDefault="00000000" w:rsidRPr="00000000" w14:paraId="0000001C">
      <w:pPr>
        <w:jc w:val="both"/>
        <w:rPr>
          <w:sz w:val="24"/>
          <w:szCs w:val="24"/>
        </w:rPr>
      </w:pPr>
      <w:r w:rsidDel="00000000" w:rsidR="00000000" w:rsidRPr="00000000">
        <w:rPr>
          <w:sz w:val="24"/>
          <w:szCs w:val="24"/>
          <w:rtl w:val="0"/>
        </w:rPr>
        <w:br w:type="textWrapping"/>
        <w:t xml:space="preserve">· “</w:t>
      </w:r>
      <w:r w:rsidDel="00000000" w:rsidR="00000000" w:rsidRPr="00000000">
        <w:rPr>
          <w:b w:val="1"/>
          <w:sz w:val="24"/>
          <w:szCs w:val="24"/>
          <w:rtl w:val="0"/>
        </w:rPr>
        <w:t xml:space="preserve">Hastaya ait tıbbi ve idari kayıtların tutulması, elektronik ve/veya sesli ortamlara kayıt edilen tıbbi verilerin tıbbi belgelere dönüştürülmesi, tıbbi raporları ve tıbbi mesleki mektupları tabiplerin söyledikleri şekilde ve usulüne uygun olarak yazılması” işlerinin ise Tıbbi Sekreterlik iş ve görevleri kapsamında olduğu</w:t>
      </w:r>
      <w:r w:rsidDel="00000000" w:rsidR="00000000" w:rsidRPr="00000000">
        <w:rPr>
          <w:sz w:val="24"/>
          <w:szCs w:val="24"/>
          <w:rtl w:val="0"/>
        </w:rPr>
        <w:t xml:space="preserve">,</w:t>
      </w:r>
    </w:p>
    <w:p w:rsidR="00000000" w:rsidDel="00000000" w:rsidP="00000000" w:rsidRDefault="00000000" w:rsidRPr="00000000" w14:paraId="0000001D">
      <w:pPr>
        <w:jc w:val="both"/>
        <w:rPr>
          <w:sz w:val="24"/>
          <w:szCs w:val="24"/>
        </w:rPr>
      </w:pPr>
      <w:r w:rsidDel="00000000" w:rsidR="00000000" w:rsidRPr="00000000">
        <w:rPr>
          <w:sz w:val="24"/>
          <w:szCs w:val="24"/>
          <w:rtl w:val="0"/>
        </w:rPr>
        <w:br w:type="textWrapping"/>
        <w:t xml:space="preserve">· Dolayısıyla, biriminde sekreter görevlendirilmesi yapılmasının ilgili mevzuat çerçevesinde gereklilik olduğu,</w:t>
      </w:r>
    </w:p>
    <w:p w:rsidR="00000000" w:rsidDel="00000000" w:rsidP="00000000" w:rsidRDefault="00000000" w:rsidRPr="00000000" w14:paraId="0000001E">
      <w:pPr>
        <w:jc w:val="both"/>
        <w:rPr>
          <w:sz w:val="24"/>
          <w:szCs w:val="24"/>
        </w:rPr>
      </w:pPr>
      <w:r w:rsidDel="00000000" w:rsidR="00000000" w:rsidRPr="00000000">
        <w:rPr>
          <w:rtl w:val="0"/>
        </w:rPr>
      </w:r>
    </w:p>
    <w:p w:rsidR="00000000" w:rsidDel="00000000" w:rsidP="00000000" w:rsidRDefault="00000000" w:rsidRPr="00000000" w14:paraId="0000001F">
      <w:pPr>
        <w:ind w:firstLine="708"/>
        <w:jc w:val="both"/>
        <w:rPr>
          <w:sz w:val="24"/>
          <w:szCs w:val="24"/>
        </w:rPr>
      </w:pPr>
      <w:r w:rsidDel="00000000" w:rsidR="00000000" w:rsidRPr="00000000">
        <w:rPr>
          <w:sz w:val="24"/>
          <w:szCs w:val="24"/>
          <w:rtl w:val="0"/>
        </w:rPr>
        <w:t xml:space="preserve">Bu kapsamda, hekimlerin Hastane’nin belirlediği sorumluluklar çerçevesinde kendisinin de hizmetin gereği gibi ve aksamadan yürütülmesinden sorumluluğu olduğu düşünüldüğünde görevli olduğu poliklinikte sekreter olmadan tek başına hasta değerlendirmesinin muayene hizmeti vermesinin,Hastanenin sevk ve idaresinden sorumlu olan Başhekimliğinizin  yukarıda ayrıntıları ile izah edilen yasal mevzuata göre ve 27 Mayıs 2014 tarihli Resmi Gazete’de yayımlanarak yürürlüğe giren Sağlık Meslek Mensupları İle Sağlık Hizmetlerinde Çalışan Diğer Meslek Mensuplarının İş ve Görev Tanımlarına Dair Yönetmelik hükümlerinde belirtilen Tabiplerin İş ve Görev tanımları içerisinde Sekretarya Görevi  olmadığı ve Hekimlerin hasta ile yakınları ile yalnız kalmasının Adli sıkıntılar yanında hekimlerin can güvenliğini de tehtit etmesi nedenleri ile </w:t>
      </w:r>
      <w:r w:rsidDel="00000000" w:rsidR="00000000" w:rsidRPr="00000000">
        <w:rPr>
          <w:b w:val="1"/>
          <w:sz w:val="24"/>
          <w:szCs w:val="24"/>
          <w:u w:val="single"/>
          <w:rtl w:val="0"/>
        </w:rPr>
        <w:t xml:space="preserve">hukuka aykırı olduğu</w:t>
      </w:r>
      <w:r w:rsidDel="00000000" w:rsidR="00000000" w:rsidRPr="00000000">
        <w:rPr>
          <w:sz w:val="24"/>
          <w:szCs w:val="24"/>
          <w:rtl w:val="0"/>
        </w:rPr>
        <w:t xml:space="preserve">  aşikardır.</w:t>
      </w:r>
    </w:p>
    <w:p w:rsidR="00000000" w:rsidDel="00000000" w:rsidP="00000000" w:rsidRDefault="00000000" w:rsidRPr="00000000" w14:paraId="00000020">
      <w:pPr>
        <w:ind w:firstLine="708"/>
        <w:jc w:val="both"/>
        <w:rPr>
          <w:sz w:val="24"/>
          <w:szCs w:val="24"/>
        </w:rPr>
      </w:pPr>
      <w:r w:rsidDel="00000000" w:rsidR="00000000" w:rsidRPr="00000000">
        <w:rPr>
          <w:rtl w:val="0"/>
        </w:rPr>
      </w:r>
    </w:p>
    <w:p w:rsidR="00000000" w:rsidDel="00000000" w:rsidP="00000000" w:rsidRDefault="00000000" w:rsidRPr="00000000" w14:paraId="00000021">
      <w:pPr>
        <w:jc w:val="both"/>
        <w:rPr>
          <w:b w:val="1"/>
          <w:sz w:val="24"/>
          <w:szCs w:val="24"/>
        </w:rPr>
      </w:pPr>
      <w:r w:rsidDel="00000000" w:rsidR="00000000" w:rsidRPr="00000000">
        <w:rPr>
          <w:rtl w:val="0"/>
        </w:rPr>
      </w:r>
    </w:p>
    <w:p w:rsidR="00000000" w:rsidDel="00000000" w:rsidP="00000000" w:rsidRDefault="00000000" w:rsidRPr="00000000" w14:paraId="00000022">
      <w:pPr>
        <w:jc w:val="both"/>
        <w:rPr>
          <w:sz w:val="24"/>
          <w:szCs w:val="24"/>
        </w:rPr>
      </w:pPr>
      <w:r w:rsidDel="00000000" w:rsidR="00000000" w:rsidRPr="00000000">
        <w:rPr>
          <w:rtl w:val="0"/>
        </w:rPr>
      </w:r>
    </w:p>
    <w:p w:rsidR="00000000" w:rsidDel="00000000" w:rsidP="00000000" w:rsidRDefault="00000000" w:rsidRPr="00000000" w14:paraId="00000023">
      <w:pPr>
        <w:jc w:val="both"/>
        <w:rPr>
          <w:sz w:val="24"/>
          <w:szCs w:val="24"/>
        </w:rPr>
      </w:pPr>
      <w:r w:rsidDel="00000000" w:rsidR="00000000" w:rsidRPr="00000000">
        <w:rPr>
          <w:rtl w:val="0"/>
        </w:rPr>
      </w:r>
    </w:p>
    <w:p w:rsidR="00000000" w:rsidDel="00000000" w:rsidP="00000000" w:rsidRDefault="00000000" w:rsidRPr="00000000" w14:paraId="00000024">
      <w:pPr>
        <w:spacing w:after="200" w:line="276" w:lineRule="auto"/>
        <w:ind w:firstLine="708"/>
        <w:jc w:val="both"/>
        <w:rPr>
          <w:b w:val="1"/>
          <w:sz w:val="24"/>
          <w:szCs w:val="24"/>
        </w:rPr>
      </w:pPr>
      <w:r w:rsidDel="00000000" w:rsidR="00000000" w:rsidRPr="00000000">
        <w:rPr>
          <w:b w:val="1"/>
          <w:sz w:val="24"/>
          <w:szCs w:val="24"/>
        </w:rPr>
        <w:drawing>
          <wp:inline distB="0" distT="0" distL="0" distR="0">
            <wp:extent cx="5505450" cy="3428833"/>
            <wp:effectExtent b="0" l="0" r="0" t="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505450" cy="3428833"/>
                    </a:xfrm>
                    <a:prstGeom prst="rect"/>
                    <a:ln/>
                  </pic:spPr>
                </pic:pic>
              </a:graphicData>
            </a:graphic>
          </wp:inline>
        </w:drawing>
      </w:r>
      <w:r w:rsidDel="00000000" w:rsidR="00000000" w:rsidRPr="00000000">
        <w:rPr>
          <w:rtl w:val="0"/>
        </w:rPr>
      </w:r>
    </w:p>
    <w:sectPr>
      <w:footerReference r:id="rId9" w:type="default"/>
      <w:pgSz w:h="16838" w:w="11906" w:orient="portrait"/>
      <w:pgMar w:bottom="1417" w:top="426"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kararlaryeni.anayasa.gov.tr/Karar/Content/1812cbf7-85ed-4fb8-8a10-dd2b38a6ab28?excludeGerekce=False&amp;wordsOnly=False"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