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…………….HASTANESİ</w:t>
      </w:r>
    </w:p>
    <w:p w:rsidR="00000000" w:rsidDel="00000000" w:rsidP="00000000" w:rsidRDefault="00000000" w:rsidRPr="00000000" w14:paraId="00000002">
      <w:pPr>
        <w:jc w:val="center"/>
        <w:rPr>
          <w:b w:val="1"/>
        </w:rPr>
      </w:pPr>
      <w:r w:rsidDel="00000000" w:rsidR="00000000" w:rsidRPr="00000000">
        <w:rPr>
          <w:b w:val="1"/>
          <w:rtl w:val="0"/>
        </w:rPr>
        <w:t xml:space="preserve">BAŞHEKİMLİĞİNE</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KONU: </w:t>
      </w:r>
      <w:r w:rsidDel="00000000" w:rsidR="00000000" w:rsidRPr="00000000">
        <w:rPr>
          <w:rtl w:val="0"/>
        </w:rPr>
        <w:t xml:space="preserve">Taban/teşvik ek ödemeleri ve nöbet ücretlerinin geç ödenmesi hk.</w:t>
      </w:r>
    </w:p>
    <w:p w:rsidR="00000000" w:rsidDel="00000000" w:rsidP="00000000" w:rsidRDefault="00000000" w:rsidRPr="00000000" w14:paraId="00000005">
      <w:pPr>
        <w:jc w:val="both"/>
        <w:rPr/>
      </w:pPr>
      <w:r w:rsidDel="00000000" w:rsidR="00000000" w:rsidRPr="00000000">
        <w:rPr>
          <w:b w:val="1"/>
          <w:rtl w:val="0"/>
        </w:rPr>
        <w:t xml:space="preserve">AÇIKLAMALAR: …….</w:t>
      </w:r>
      <w:r w:rsidDel="00000000" w:rsidR="00000000" w:rsidRPr="00000000">
        <w:rPr>
          <w:rtl w:val="0"/>
        </w:rPr>
        <w:t xml:space="preserve">Hastanesi’nde ……………………….olarak görev yapmaktayım. Kurumumuz tarafından taban/teşvik ek ödemeleri ve nöbet ücretleri geç ödenmektedir. Bu durum tarafım için mağduriyet yaratmakla birlikte mevzuata da aykırıdır.</w:t>
      </w:r>
    </w:p>
    <w:p w:rsidR="00000000" w:rsidDel="00000000" w:rsidP="00000000" w:rsidRDefault="00000000" w:rsidRPr="00000000" w14:paraId="00000006">
      <w:pPr>
        <w:jc w:val="both"/>
        <w:rPr>
          <w:b w:val="1"/>
        </w:rPr>
      </w:pPr>
      <w:r w:rsidDel="00000000" w:rsidR="00000000" w:rsidRPr="00000000">
        <w:rPr>
          <w:b w:val="1"/>
          <w:rtl w:val="0"/>
        </w:rPr>
        <w:t xml:space="preserve">Şöyle ki;</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Sağlık Bakanlığı Ek Ödeme Yönetmeliği’nin 6.maddesinde “Personele yapılacak ek ödeme dağıtımı “başlığında taban ödeme ve teşvik ek ödemesinin tanımı yapılmış olup, bu ödemelerin miktarlarının hesaplanmasında esas alınacak kriterler belirtilmiştir.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İlgili yönetmelik maddesi göz önünde bulundurulduğunda yapılan taban/teşvik </w:t>
      </w:r>
      <w:r w:rsidDel="00000000" w:rsidR="00000000" w:rsidRPr="00000000">
        <w:rPr>
          <w:rFonts w:ascii="Times New Roman" w:cs="Times New Roman" w:eastAsia="Times New Roman" w:hAnsi="Times New Roman"/>
          <w:u w:val="single"/>
          <w:rtl w:val="0"/>
        </w:rPr>
        <w:t xml:space="preserve">ödemesinin  yapılan işin, çalışmanın karşılığı olarak </w:t>
      </w:r>
      <w:r w:rsidDel="00000000" w:rsidR="00000000" w:rsidRPr="00000000">
        <w:rPr>
          <w:rFonts w:ascii="Times New Roman" w:cs="Times New Roman" w:eastAsia="Times New Roman" w:hAnsi="Times New Roman"/>
          <w:rtl w:val="0"/>
        </w:rPr>
        <w:t xml:space="preserve">ödendiği görülmektedir. …… ayı için hak edilen taban/teşvik ek ödemesinin ertesi ay olan ….. ayında, maaş ile birlikte ödenmesi gerekmektedir. Oysa kurumumuzda ………ayı için maaş ödemesi yapılmış olup, çalışmanın karşılığı olarak ………..ayı için hak edilen taban/teşvik ek ödemesi hala tarafıma yatırılmamıştır. Bu durum genel olarak kurumumuzda yaşanan bir sorun olmakla birlikte taban/teşvik ek ödemelerinin her ayın 15’inde maaş ile birlikte yatırılması gerekirken daha geç yatırılması tarafım için mağduriyet yaratmaktadır.</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Kurumuzda tutulan nöbetlerin karşılığı olarak ödenmesi gereken ücretler ise en az 2 ay geç yatırılmaktadır. T.C. Sağlık Bakanlığı Tedavi Hizmetleri Genel Müdürlüğü’nün 2010/21 ve 09.04.2010 Tarih’li Genelgesi şu şekildedir: </w:t>
      </w:r>
    </w:p>
    <w:p w:rsidR="00000000" w:rsidDel="00000000" w:rsidP="00000000" w:rsidRDefault="00000000" w:rsidRPr="00000000" w14:paraId="0000000A">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“4688 sayılı Kamu Görevlileri Sendikaları Kanununun 22 nci maddesi ile Kurum İdari Kurulları, Yüksek İdari Kurul, Kamu İşveren Kurulu ve Uzlaştırma Kurulunun Teşkili ile Çalışma Usul ve Esaslarına İlişkin Yönetmelik hükümleri gereğince Sağlık Bakanlığı ve yetkili sendika Sağlık Sen tarafından oluşturulan Kurum İdari Kurulunun 30.10.2009 tarihli toplantısında yapılan değerlendirmelerde </w:t>
      </w:r>
      <w:r w:rsidDel="00000000" w:rsidR="00000000" w:rsidRPr="00000000">
        <w:rPr>
          <w:rFonts w:ascii="Times New Roman" w:cs="Times New Roman" w:eastAsia="Times New Roman" w:hAnsi="Times New Roman"/>
          <w:b w:val="1"/>
          <w:i w:val="1"/>
          <w:rtl w:val="0"/>
        </w:rPr>
        <w:t xml:space="preserve">“Nöbet ücretlerinin takip edilen ay içerisinde ödenmesi kararlaştırılmıştır .</w:t>
      </w:r>
      <w:r w:rsidDel="00000000" w:rsidR="00000000" w:rsidRPr="00000000">
        <w:rPr>
          <w:rFonts w:ascii="Times New Roman" w:cs="Times New Roman" w:eastAsia="Times New Roman" w:hAnsi="Times New Roman"/>
          <w:i w:val="1"/>
          <w:rtl w:val="0"/>
        </w:rPr>
        <w:t xml:space="preserve">Anılan karar gereği, Bakanlığımız sağlık kurum ve kuruluşlarında nöbet tutturulan personelin nöbet ücretlerinin, nöbet tutulan ay’ı takip eden ay içerisinde ödenmesi konusunun iliniz sağlık kurum ve kuruluşlarına duyurulması ve aksaklığa sebebiyet verilmemesi hususunda gereğini rica ederim.”</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Kurumumuzda tutulan nöbetlerin karşılığı olarak ödenmesi gereken ücretlerin takip eden ay içerisinde ödenmemesi ilgili genelgeye aykırıdır.</w:t>
      </w:r>
    </w:p>
    <w:p w:rsidR="00000000" w:rsidDel="00000000" w:rsidP="00000000" w:rsidRDefault="00000000" w:rsidRPr="00000000" w14:paraId="0000000C">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Avrupa İnsan Hakları Sözleşmesi Mülkiyet hakkını garanti altına alan 1 No’lu Ek Protokolün 1. maddesi şöyle demektedir: </w:t>
      </w:r>
      <w:r w:rsidDel="00000000" w:rsidR="00000000" w:rsidRPr="00000000">
        <w:rPr>
          <w:rFonts w:ascii="Times New Roman" w:cs="Times New Roman" w:eastAsia="Times New Roman" w:hAnsi="Times New Roman"/>
          <w:i w:val="1"/>
          <w:rtl w:val="0"/>
        </w:rPr>
        <w:t xml:space="preserve">“Her gerçek ve tüzel kişinin mal ve mülk dokunulmazlığına saygı gösterilmesini isteme hakkı vardır. Bir kimse, ancak kamu yararı sebebiyle ve yasada öngörülen koşullara ve uluslararası hukukun genel ilkelerine uygun olarak mal ve mülkünden yoksun bırakılabilir.”</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Anayasa’nın 35. Maddesinde </w:t>
      </w:r>
      <w:r w:rsidDel="00000000" w:rsidR="00000000" w:rsidRPr="00000000">
        <w:rPr>
          <w:rFonts w:ascii="Times New Roman" w:cs="Times New Roman" w:eastAsia="Times New Roman" w:hAnsi="Times New Roman"/>
          <w:i w:val="1"/>
          <w:rtl w:val="0"/>
        </w:rPr>
        <w:t xml:space="preserve">“Herkes, mülkiyet ve miras haklarına sahiptir. Bu haklar, ancak kamu yararı amacıyla, kanunla sınırlanabilir. Mülkiyet hakkının kullanılması toplum yararına aykırı olamaz.” </w:t>
      </w:r>
      <w:r w:rsidDel="00000000" w:rsidR="00000000" w:rsidRPr="00000000">
        <w:rPr>
          <w:rFonts w:ascii="Times New Roman" w:cs="Times New Roman" w:eastAsia="Times New Roman" w:hAnsi="Times New Roman"/>
          <w:rtl w:val="0"/>
        </w:rPr>
        <w:t xml:space="preserve">Hükmü yer almaktadır.</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Maaş ve maaş ile birlikte ödenen ücretler de mülkiyet hakkının bir parçasıdır. Bu nedenle Avrupa İnsan Hakları Sözleşmesi Ek 1 Protokolünde ’nde ve Anayasa ‘da korunan haklarından biri olan mülkiyet hakkı açısından da taban/teşvik ek ödemelerinin ve nöbet ücretlerinin zamanında ödenmemesiyle hukuka aykırılık doğmuştur.</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SONUÇ VE İSTEM:</w:t>
      </w:r>
      <w:r w:rsidDel="00000000" w:rsidR="00000000" w:rsidRPr="00000000">
        <w:rPr>
          <w:rFonts w:ascii="Times New Roman" w:cs="Times New Roman" w:eastAsia="Times New Roman" w:hAnsi="Times New Roman"/>
          <w:rtl w:val="0"/>
        </w:rPr>
        <w:t xml:space="preserve"> Yukarıda yer alan ve kurum tarafından resen göz önünde bulundurulacak nedenler doğrultusunda (Tüm Yasal Haklarımı Saklı Tutarak) taban/teşvik ek ödemeleri ve nöbet ücretlerinin tarafıma zamanında ödenmesi hususunda gereğinin yapılmasını ve henüz tarafıma ödenmemiş olan ayrı ayrı her bir ödemenin (aylık v.b.) doğduğu/tahakkuk ettiği tarihlerden itibaren işletilecek yasal faiziyle birlikte tarafıma ödenmesini arz ve talep ederim.../../….</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Uz. Dr. Ad-Soyad</w:t>
      </w:r>
    </w:p>
    <w:p w:rsidR="00000000" w:rsidDel="00000000" w:rsidP="00000000" w:rsidRDefault="00000000" w:rsidRPr="00000000" w14:paraId="00000012">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İmza</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