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4281805</wp:posOffset>
            </wp:positionH>
            <wp:positionV relativeFrom="paragraph">
              <wp:posOffset>5715</wp:posOffset>
            </wp:positionV>
            <wp:extent cx="1467485" cy="14649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7485" cy="1464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4449</wp:posOffset>
            </wp:positionH>
            <wp:positionV relativeFrom="paragraph">
              <wp:posOffset>5715</wp:posOffset>
            </wp:positionV>
            <wp:extent cx="1438275" cy="143637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8275" cy="1436370"/>
                    </a:xfrm>
                    <a:prstGeom prst="rect"/>
                    <a:ln/>
                  </pic:spPr>
                </pic:pic>
              </a:graphicData>
            </a:graphic>
          </wp:anchor>
        </w:drawing>
      </w:r>
    </w:p>
    <w:p w:rsidR="00000000" w:rsidDel="00000000" w:rsidP="00000000" w:rsidRDefault="00000000" w:rsidRPr="00000000" w14:paraId="00000002">
      <w:pPr>
        <w:jc w:val="center"/>
        <w:rPr>
          <w:b w:val="1"/>
          <w:color w:val="ff0000"/>
          <w:sz w:val="20"/>
          <w:szCs w:val="20"/>
        </w:rPr>
      </w:pPr>
      <w:r w:rsidDel="00000000" w:rsidR="00000000" w:rsidRPr="00000000">
        <w:rPr>
          <w:rtl w:val="0"/>
        </w:rPr>
      </w:r>
    </w:p>
    <w:p w:rsidR="00000000" w:rsidDel="00000000" w:rsidP="00000000" w:rsidRDefault="00000000" w:rsidRPr="00000000" w14:paraId="00000003">
      <w:pPr>
        <w:jc w:val="center"/>
        <w:rPr>
          <w:b w:val="1"/>
          <w:color w:val="ff0000"/>
          <w:sz w:val="64"/>
          <w:szCs w:val="64"/>
        </w:rPr>
      </w:pPr>
      <w:r w:rsidDel="00000000" w:rsidR="00000000" w:rsidRPr="00000000">
        <w:rPr>
          <w:b w:val="1"/>
          <w:color w:val="ff0000"/>
          <w:sz w:val="64"/>
          <w:szCs w:val="64"/>
          <w:rtl w:val="0"/>
        </w:rPr>
        <w:t xml:space="preserve">HEKİM BİRLİĞİ</w:t>
      </w:r>
    </w:p>
    <w:p w:rsidR="00000000" w:rsidDel="00000000" w:rsidP="00000000" w:rsidRDefault="00000000" w:rsidRPr="00000000" w14:paraId="00000004">
      <w:pPr>
        <w:jc w:val="center"/>
        <w:rPr>
          <w:b w:val="1"/>
          <w:color w:val="000000"/>
          <w:sz w:val="24"/>
          <w:szCs w:val="24"/>
        </w:rPr>
      </w:pPr>
      <w:r w:rsidDel="00000000" w:rsidR="00000000" w:rsidRPr="00000000">
        <w:rPr>
          <w:b w:val="1"/>
          <w:color w:val="000000"/>
          <w:sz w:val="24"/>
          <w:szCs w:val="24"/>
          <w:rtl w:val="0"/>
        </w:rPr>
        <w:t xml:space="preserve">Hekim ve Sağlık Çalışanları Birliği</w:t>
      </w:r>
    </w:p>
    <w:p w:rsidR="00000000" w:rsidDel="00000000" w:rsidP="00000000" w:rsidRDefault="00000000" w:rsidRPr="00000000" w14:paraId="00000005">
      <w:pPr>
        <w:jc w:val="center"/>
        <w:rPr>
          <w:b w:val="1"/>
          <w:color w:val="000000"/>
          <w:sz w:val="24"/>
          <w:szCs w:val="24"/>
        </w:rPr>
      </w:pPr>
      <w:r w:rsidDel="00000000" w:rsidR="00000000" w:rsidRPr="00000000">
        <w:rPr>
          <w:b w:val="1"/>
          <w:color w:val="000000"/>
          <w:sz w:val="24"/>
          <w:szCs w:val="24"/>
          <w:rtl w:val="0"/>
        </w:rPr>
        <w:t xml:space="preserve">Sağlık ve Sosyal Hizmetler Sendikası</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T.C</w:t>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 VALİLİĞİ</w:t>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 İL SAĞLIK MÜDÜRLÜĞÜ</w:t>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 Devlet Başhekimliği ‘ne</w:t>
      </w:r>
    </w:p>
    <w:p w:rsidR="00000000" w:rsidDel="00000000" w:rsidP="00000000" w:rsidRDefault="00000000" w:rsidRPr="00000000" w14:paraId="0000000C">
      <w:pPr>
        <w:jc w:val="center"/>
        <w:rPr>
          <w:b w:val="1"/>
          <w:sz w:val="20"/>
          <w:szCs w:val="20"/>
        </w:rPr>
      </w:pPr>
      <w:r w:rsidDel="00000000" w:rsidR="00000000" w:rsidRPr="00000000">
        <w:rPr>
          <w:rtl w:val="0"/>
        </w:rPr>
      </w:r>
    </w:p>
    <w:p w:rsidR="00000000" w:rsidDel="00000000" w:rsidP="00000000" w:rsidRDefault="00000000" w:rsidRPr="00000000" w14:paraId="0000000D">
      <w:pPr>
        <w:rPr>
          <w:b w:val="1"/>
          <w:sz w:val="20"/>
          <w:szCs w:val="20"/>
        </w:rPr>
      </w:pPr>
      <w:r w:rsidDel="00000000" w:rsidR="00000000" w:rsidRPr="00000000">
        <w:rPr>
          <w:rtl w:val="0"/>
        </w:rPr>
      </w:r>
    </w:p>
    <w:p w:rsidR="00000000" w:rsidDel="00000000" w:rsidP="00000000" w:rsidRDefault="00000000" w:rsidRPr="00000000" w14:paraId="0000000E">
      <w:pPr>
        <w:rPr>
          <w:b w:val="1"/>
          <w:sz w:val="20"/>
          <w:szCs w:val="20"/>
        </w:rPr>
      </w:pPr>
      <w:r w:rsidDel="00000000" w:rsidR="00000000" w:rsidRPr="00000000">
        <w:rPr>
          <w:rtl w:val="0"/>
        </w:rPr>
      </w:r>
    </w:p>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spacing w:after="200" w:line="276" w:lineRule="auto"/>
        <w:ind w:firstLine="708"/>
        <w:jc w:val="both"/>
        <w:rPr>
          <w:b w:val="1"/>
          <w:sz w:val="24"/>
          <w:szCs w:val="24"/>
        </w:rPr>
      </w:pPr>
      <w:r w:rsidDel="00000000" w:rsidR="00000000" w:rsidRPr="00000000">
        <w:rPr>
          <w:b w:val="1"/>
          <w:sz w:val="24"/>
          <w:szCs w:val="24"/>
          <w:rtl w:val="0"/>
        </w:rPr>
        <w:t xml:space="preserve">Konu: MHRS Randevusu</w:t>
      </w:r>
    </w:p>
    <w:p w:rsidR="00000000" w:rsidDel="00000000" w:rsidP="00000000" w:rsidRDefault="00000000" w:rsidRPr="00000000" w14:paraId="00000011">
      <w:pPr>
        <w:spacing w:after="120" w:line="264"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hizmetleri adalet ve hakkaniyet ilkeleri doğrultusunda, hastanın ihtiyaçlarına uygun faydalanma hakkı tanınarak, tıbbi standartlara uygun, dikkat ve özen yükümlülüğü çerçevesinde sunulmalıdır. Bu sebeple hakkıyla sağlık hizmeti sunma ve hakkıyla görev yapabilmek için hastalarımıza gerekli sürenin ayrılabilmesi gerekir.</w:t>
      </w:r>
    </w:p>
    <w:p w:rsidR="00000000" w:rsidDel="00000000" w:rsidP="00000000" w:rsidRDefault="00000000" w:rsidRPr="00000000" w14:paraId="00000012">
      <w:pPr>
        <w:spacing w:after="120" w:line="264"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Mesleğimizin gerektirdiği nitelikli sağlık hizmetinin sunumu için hastaya ayrılması gereken sürenin ortalama 20 dakika olması, bazı branşlarda bu sürenin daha da artırılması gerektiği genel olarak kabul edilmektedir.</w:t>
      </w:r>
    </w:p>
    <w:p w:rsidR="00000000" w:rsidDel="00000000" w:rsidP="00000000" w:rsidRDefault="00000000" w:rsidRPr="00000000" w14:paraId="00000013">
      <w:pPr>
        <w:spacing w:after="120" w:line="264"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120" w:line="264"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Poliklinik randevularının belirlenmesi ile ilgili birtakım mevzuat ve içtihatlar şu şekildedir:</w:t>
      </w:r>
    </w:p>
    <w:p w:rsidR="00000000" w:rsidDel="00000000" w:rsidP="00000000" w:rsidRDefault="00000000" w:rsidRPr="00000000" w14:paraId="00000015">
      <w:pPr>
        <w:spacing w:after="120" w:line="264"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Tıbbi Deontoloji Nizamnamesi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120" w:line="264"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maddesi "</w:t>
      </w:r>
      <w:r w:rsidDel="00000000" w:rsidR="00000000" w:rsidRPr="00000000">
        <w:rPr>
          <w:rFonts w:ascii="Times New Roman" w:cs="Times New Roman" w:eastAsia="Times New Roman" w:hAnsi="Times New Roman"/>
          <w:i w:val="1"/>
          <w:sz w:val="24"/>
          <w:szCs w:val="24"/>
          <w:rtl w:val="0"/>
        </w:rPr>
        <w:t xml:space="preserve">Tabip ve diş tabibinin başta gelen vazifesi, insan sağlığına, hayatına ve şahsiyetine ihtimam ve hürmet göstermektir. Tabip ve diş tabibi; … muayene ve tedavi hususunda azami dikkat ve ihtimamı göstermekle mükelleftir.</w:t>
      </w:r>
      <w:r w:rsidDel="00000000" w:rsidR="00000000" w:rsidRPr="00000000">
        <w:rPr>
          <w:rFonts w:ascii="Times New Roman" w:cs="Times New Roman" w:eastAsia="Times New Roman" w:hAnsi="Times New Roman"/>
          <w:sz w:val="24"/>
          <w:szCs w:val="24"/>
          <w:rtl w:val="0"/>
        </w:rPr>
        <w:t xml:space="preserve">", 13. maddesi, "</w:t>
      </w:r>
      <w:r w:rsidDel="00000000" w:rsidR="00000000" w:rsidRPr="00000000">
        <w:rPr>
          <w:rFonts w:ascii="Times New Roman" w:cs="Times New Roman" w:eastAsia="Times New Roman" w:hAnsi="Times New Roman"/>
          <w:i w:val="1"/>
          <w:sz w:val="24"/>
          <w:szCs w:val="24"/>
          <w:rtl w:val="0"/>
        </w:rPr>
        <w:t xml:space="preserve">Tabip ve diş tabibi, ilmi icaplara uygun olarak teşhis koyar ve gereken tedaviyi tatbik eder.</w:t>
      </w:r>
      <w:r w:rsidDel="00000000" w:rsidR="00000000" w:rsidRPr="00000000">
        <w:rPr>
          <w:rFonts w:ascii="Times New Roman" w:cs="Times New Roman" w:eastAsia="Times New Roman" w:hAnsi="Times New Roman"/>
          <w:sz w:val="24"/>
          <w:szCs w:val="24"/>
          <w:rtl w:val="0"/>
        </w:rPr>
        <w:t xml:space="preserve">", 14. maddesi ise, "</w:t>
      </w:r>
      <w:r w:rsidDel="00000000" w:rsidR="00000000" w:rsidRPr="00000000">
        <w:rPr>
          <w:rFonts w:ascii="Times New Roman" w:cs="Times New Roman" w:eastAsia="Times New Roman" w:hAnsi="Times New Roman"/>
          <w:i w:val="1"/>
          <w:sz w:val="24"/>
          <w:szCs w:val="24"/>
          <w:rtl w:val="0"/>
        </w:rPr>
        <w:t xml:space="preserve">Tabip ve diş tabibi, hastanın vaziyetinin icab ettirdiği sıhhi ihtimamı gösterir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after="120" w:line="264"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Hasta Hakları Yönetmeliği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spacing w:after="120" w:line="264"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maddesi, “</w:t>
      </w:r>
      <w:r w:rsidDel="00000000" w:rsidR="00000000" w:rsidRPr="00000000">
        <w:rPr>
          <w:rFonts w:ascii="Times New Roman" w:cs="Times New Roman" w:eastAsia="Times New Roman" w:hAnsi="Times New Roman"/>
          <w:i w:val="1"/>
          <w:sz w:val="24"/>
          <w:szCs w:val="24"/>
          <w:rtl w:val="0"/>
        </w:rPr>
        <w:t xml:space="preserve">Hasta, adalet ve hakkaniyet ilkeleri çerçevesinde sağlıklı yaşamanın teşvik edilmesine yönelik faaliyetler ve koruyucu sağlık hizmetleri de dahil olmak üzere, sağlık hizmetlerinden ihtiyaçlarına uygun olarak faydalanma hakkına sahiptir. Bu hak, sağlık hizmeti veren bütün kurum ve kuruluşlar ile sağlık hizmetinde görev alan personelin adalet ve hakkaniyet ilkelerine uygun hizmet verme yükümlülüklerini de içerir.</w:t>
      </w:r>
      <w:r w:rsidDel="00000000" w:rsidR="00000000" w:rsidRPr="00000000">
        <w:rPr>
          <w:rFonts w:ascii="Times New Roman" w:cs="Times New Roman" w:eastAsia="Times New Roman" w:hAnsi="Times New Roman"/>
          <w:sz w:val="24"/>
          <w:szCs w:val="24"/>
          <w:rtl w:val="0"/>
        </w:rPr>
        <w:t xml:space="preserve">”, 11. maddesi “</w:t>
      </w:r>
      <w:r w:rsidDel="00000000" w:rsidR="00000000" w:rsidRPr="00000000">
        <w:rPr>
          <w:rFonts w:ascii="Times New Roman" w:cs="Times New Roman" w:eastAsia="Times New Roman" w:hAnsi="Times New Roman"/>
          <w:i w:val="1"/>
          <w:sz w:val="24"/>
          <w:szCs w:val="24"/>
          <w:rtl w:val="0"/>
        </w:rPr>
        <w:t xml:space="preserve">Hasta, modern tıbbi bilgi ve teknolojinin gereklerine uygun olarak teşhisinin konulmasını, tedavisinin yapılmasını ve bakımını istemek hakkına sahiptir</w:t>
      </w:r>
      <w:r w:rsidDel="00000000" w:rsidR="00000000" w:rsidRPr="00000000">
        <w:rPr>
          <w:rFonts w:ascii="Times New Roman" w:cs="Times New Roman" w:eastAsia="Times New Roman" w:hAnsi="Times New Roman"/>
          <w:sz w:val="24"/>
          <w:szCs w:val="24"/>
          <w:rtl w:val="0"/>
        </w:rPr>
        <w:t xml:space="preserve">”; 14. maddesi “</w:t>
      </w:r>
      <w:r w:rsidDel="00000000" w:rsidR="00000000" w:rsidRPr="00000000">
        <w:rPr>
          <w:rFonts w:ascii="Times New Roman" w:cs="Times New Roman" w:eastAsia="Times New Roman" w:hAnsi="Times New Roman"/>
          <w:i w:val="1"/>
          <w:sz w:val="24"/>
          <w:szCs w:val="24"/>
          <w:rtl w:val="0"/>
        </w:rPr>
        <w:t xml:space="preserve">Personel, hastanın durumunun gerektirdiği tıbbi özeni gösterir.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120" w:line="264" w:lineRule="auto"/>
        <w:ind w:firstLine="708"/>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after="120" w:line="264" w:lineRule="auto"/>
        <w:ind w:firstLine="708"/>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after="120" w:line="264" w:lineRule="auto"/>
        <w:ind w:firstLine="708"/>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after="120" w:line="264"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120" w:line="264"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Merkezi Hekim Randevu Sistemi Çalışma Usul ve Esasları Hakkında Yönerge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Ek2 </w:t>
      </w:r>
    </w:p>
    <w:p w:rsidR="00000000" w:rsidDel="00000000" w:rsidP="00000000" w:rsidRDefault="00000000" w:rsidRPr="00000000" w14:paraId="0000001E">
      <w:pPr>
        <w:spacing w:after="120" w:line="264"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2.1.; “</w:t>
      </w:r>
      <w:r w:rsidDel="00000000" w:rsidR="00000000" w:rsidRPr="00000000">
        <w:rPr>
          <w:rFonts w:ascii="Times New Roman" w:cs="Times New Roman" w:eastAsia="Times New Roman" w:hAnsi="Times New Roman"/>
          <w:b w:val="1"/>
          <w:i w:val="1"/>
          <w:sz w:val="24"/>
          <w:szCs w:val="24"/>
          <w:rtl w:val="0"/>
        </w:rPr>
        <w:t xml:space="preserve">Randevu cetveli</w:t>
      </w:r>
      <w:r w:rsidDel="00000000" w:rsidR="00000000" w:rsidRPr="00000000">
        <w:rPr>
          <w:rFonts w:ascii="Times New Roman" w:cs="Times New Roman" w:eastAsia="Times New Roman" w:hAnsi="Times New Roman"/>
          <w:i w:val="1"/>
          <w:sz w:val="24"/>
          <w:szCs w:val="24"/>
          <w:rtl w:val="0"/>
        </w:rPr>
        <w:t xml:space="preserve">, sağlık tesislerinde </w:t>
      </w:r>
      <w:r w:rsidDel="00000000" w:rsidR="00000000" w:rsidRPr="00000000">
        <w:rPr>
          <w:rFonts w:ascii="Times New Roman" w:cs="Times New Roman" w:eastAsia="Times New Roman" w:hAnsi="Times New Roman"/>
          <w:b w:val="1"/>
          <w:i w:val="1"/>
          <w:sz w:val="24"/>
          <w:szCs w:val="24"/>
          <w:rtl w:val="0"/>
        </w:rPr>
        <w:t xml:space="preserve">poliklinik muayene sayısının en az %80’ini, </w:t>
      </w:r>
      <w:r w:rsidDel="00000000" w:rsidR="00000000" w:rsidRPr="00000000">
        <w:rPr>
          <w:rFonts w:ascii="Times New Roman" w:cs="Times New Roman" w:eastAsia="Times New Roman" w:hAnsi="Times New Roman"/>
          <w:i w:val="1"/>
          <w:sz w:val="24"/>
          <w:szCs w:val="24"/>
          <w:rtl w:val="0"/>
        </w:rPr>
        <w:t xml:space="preserve">birinci basamak sağlık tesislerinde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 ASM’lerde</w:t>
      </w:r>
      <w:r w:rsidDel="00000000" w:rsidR="00000000" w:rsidRPr="00000000">
        <w:rPr>
          <w:rFonts w:ascii="Times New Roman" w:cs="Times New Roman" w:eastAsia="Times New Roman" w:hAnsi="Times New Roman"/>
          <w:b w:val="1"/>
          <w:i w:val="1"/>
          <w:sz w:val="24"/>
          <w:szCs w:val="24"/>
          <w:rtl w:val="0"/>
        </w:rPr>
        <w:t xml:space="preserve"> ise en az %50’sini karşılayacak</w:t>
      </w:r>
      <w:r w:rsidDel="00000000" w:rsidR="00000000" w:rsidRPr="00000000">
        <w:rPr>
          <w:rFonts w:ascii="Times New Roman" w:cs="Times New Roman" w:eastAsia="Times New Roman" w:hAnsi="Times New Roman"/>
          <w:i w:val="1"/>
          <w:sz w:val="24"/>
          <w:szCs w:val="24"/>
          <w:rtl w:val="0"/>
        </w:rPr>
        <w:t xml:space="preserve"> şekilde oluşturulur.”</w:t>
      </w:r>
    </w:p>
    <w:p w:rsidR="00000000" w:rsidDel="00000000" w:rsidP="00000000" w:rsidRDefault="00000000" w:rsidRPr="00000000" w14:paraId="0000001F">
      <w:pPr>
        <w:shd w:fill="ffffff" w:val="clear"/>
        <w:spacing w:after="150" w:before="178" w:lineRule="auto"/>
        <w:ind w:firstLine="708"/>
        <w:jc w:val="both"/>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2.2. </w:t>
      </w:r>
      <w:r w:rsidDel="00000000" w:rsidR="00000000" w:rsidRPr="00000000">
        <w:rPr>
          <w:rFonts w:ascii="Times New Roman" w:cs="Times New Roman" w:eastAsia="Times New Roman" w:hAnsi="Times New Roman"/>
          <w:i w:val="1"/>
          <w:color w:val="000000"/>
          <w:sz w:val="24"/>
          <w:szCs w:val="24"/>
          <w:highlight w:val="white"/>
          <w:rtl w:val="0"/>
        </w:rPr>
        <w:t xml:space="preserve">“</w:t>
      </w:r>
      <w:r w:rsidDel="00000000" w:rsidR="00000000" w:rsidRPr="00000000">
        <w:rPr>
          <w:rFonts w:ascii="Times New Roman" w:cs="Times New Roman" w:eastAsia="Times New Roman" w:hAnsi="Times New Roman"/>
          <w:b w:val="1"/>
          <w:i w:val="1"/>
          <w:color w:val="000000"/>
          <w:sz w:val="24"/>
          <w:szCs w:val="24"/>
          <w:highlight w:val="white"/>
          <w:rtl w:val="0"/>
        </w:rPr>
        <w:t xml:space="preserve">Hekim Çalışma Cetveli; "İlk Muayene", "Devam Eden Muayene" ve "</w:t>
      </w:r>
      <w:r w:rsidDel="00000000" w:rsidR="00000000" w:rsidRPr="00000000">
        <w:rPr>
          <w:rFonts w:ascii="Times New Roman" w:cs="Times New Roman" w:eastAsia="Times New Roman" w:hAnsi="Times New Roman"/>
          <w:b w:val="1"/>
          <w:i w:val="1"/>
          <w:color w:val="000000"/>
          <w:sz w:val="24"/>
          <w:szCs w:val="24"/>
          <w:highlight w:val="white"/>
          <w:u w:val="single"/>
          <w:rtl w:val="0"/>
        </w:rPr>
        <w:t xml:space="preserve">Sağlık Kurulu</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olmak üzere üç şekilde sisteme tanımlanır.”</w:t>
      </w:r>
      <w:r w:rsidDel="00000000" w:rsidR="00000000" w:rsidRPr="00000000">
        <w:rPr>
          <w:rtl w:val="0"/>
        </w:rPr>
      </w:r>
    </w:p>
    <w:p w:rsidR="00000000" w:rsidDel="00000000" w:rsidP="00000000" w:rsidRDefault="00000000" w:rsidRPr="00000000" w14:paraId="00000020">
      <w:pPr>
        <w:shd w:fill="ffffff" w:val="clear"/>
        <w:spacing w:after="150" w:before="178" w:lineRule="auto"/>
        <w:ind w:firstLine="708"/>
        <w:jc w:val="both"/>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2.4. </w:t>
      </w:r>
      <w:r w:rsidDel="00000000" w:rsidR="00000000" w:rsidRPr="00000000">
        <w:rPr>
          <w:rFonts w:ascii="Times New Roman" w:cs="Times New Roman" w:eastAsia="Times New Roman" w:hAnsi="Times New Roman"/>
          <w:i w:val="1"/>
          <w:color w:val="000000"/>
          <w:sz w:val="24"/>
          <w:szCs w:val="24"/>
          <w:highlight w:val="white"/>
          <w:rtl w:val="0"/>
        </w:rPr>
        <w:t xml:space="preserve">“Poliklinik hizmeti veren her hekim için </w:t>
      </w:r>
      <w:r w:rsidDel="00000000" w:rsidR="00000000" w:rsidRPr="00000000">
        <w:rPr>
          <w:rFonts w:ascii="Times New Roman" w:cs="Times New Roman" w:eastAsia="Times New Roman" w:hAnsi="Times New Roman"/>
          <w:b w:val="1"/>
          <w:i w:val="1"/>
          <w:color w:val="000000"/>
          <w:sz w:val="24"/>
          <w:szCs w:val="24"/>
          <w:highlight w:val="white"/>
          <w:rtl w:val="0"/>
        </w:rPr>
        <w:t xml:space="preserve">"İlk Muayene Cetveli",</w:t>
      </w:r>
      <w:r w:rsidDel="00000000" w:rsidR="00000000" w:rsidRPr="00000000">
        <w:rPr>
          <w:rFonts w:ascii="Times New Roman" w:cs="Times New Roman" w:eastAsia="Times New Roman" w:hAnsi="Times New Roman"/>
          <w:i w:val="1"/>
          <w:color w:val="000000"/>
          <w:sz w:val="24"/>
          <w:szCs w:val="24"/>
          <w:highlight w:val="white"/>
          <w:rtl w:val="0"/>
        </w:rPr>
        <w:t xml:space="preserve"> devam eden tedavi süreçleri ve kontrol muayeneleri için de </w:t>
      </w:r>
      <w:r w:rsidDel="00000000" w:rsidR="00000000" w:rsidRPr="00000000">
        <w:rPr>
          <w:rFonts w:ascii="Times New Roman" w:cs="Times New Roman" w:eastAsia="Times New Roman" w:hAnsi="Times New Roman"/>
          <w:b w:val="1"/>
          <w:i w:val="1"/>
          <w:color w:val="000000"/>
          <w:sz w:val="24"/>
          <w:szCs w:val="24"/>
          <w:highlight w:val="white"/>
          <w:rtl w:val="0"/>
        </w:rPr>
        <w:t xml:space="preserve">"Devam Eden Muayene Cetveli"</w:t>
      </w:r>
      <w:r w:rsidDel="00000000" w:rsidR="00000000" w:rsidRPr="00000000">
        <w:rPr>
          <w:rFonts w:ascii="Times New Roman" w:cs="Times New Roman" w:eastAsia="Times New Roman" w:hAnsi="Times New Roman"/>
          <w:i w:val="1"/>
          <w:color w:val="000000"/>
          <w:sz w:val="24"/>
          <w:szCs w:val="24"/>
          <w:highlight w:val="white"/>
          <w:rtl w:val="0"/>
        </w:rPr>
        <w:t xml:space="preserve"> tanımlanır.”</w:t>
      </w:r>
      <w:r w:rsidDel="00000000" w:rsidR="00000000" w:rsidRPr="00000000">
        <w:rPr>
          <w:rtl w:val="0"/>
        </w:rPr>
      </w:r>
    </w:p>
    <w:p w:rsidR="00000000" w:rsidDel="00000000" w:rsidP="00000000" w:rsidRDefault="00000000" w:rsidRPr="00000000" w14:paraId="00000021">
      <w:pPr>
        <w:shd w:fill="ffffff" w:val="clear"/>
        <w:spacing w:after="150" w:before="178" w:lineRule="auto"/>
        <w:ind w:firstLine="708"/>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color w:val="000000"/>
          <w:sz w:val="24"/>
          <w:szCs w:val="24"/>
          <w:highlight w:val="white"/>
          <w:rtl w:val="0"/>
        </w:rPr>
        <w:t xml:space="preserve">2.5. “</w:t>
      </w:r>
      <w:r w:rsidDel="00000000" w:rsidR="00000000" w:rsidRPr="00000000">
        <w:rPr>
          <w:rFonts w:ascii="Times New Roman" w:cs="Times New Roman" w:eastAsia="Times New Roman" w:hAnsi="Times New Roman"/>
          <w:i w:val="1"/>
          <w:color w:val="000000"/>
          <w:sz w:val="24"/>
          <w:szCs w:val="24"/>
          <w:highlight w:val="white"/>
          <w:rtl w:val="0"/>
        </w:rPr>
        <w:t xml:space="preserve">Cetvel tanımlaması yapılırken, </w:t>
      </w:r>
      <w:r w:rsidDel="00000000" w:rsidR="00000000" w:rsidRPr="00000000">
        <w:rPr>
          <w:rFonts w:ascii="Times New Roman" w:cs="Times New Roman" w:eastAsia="Times New Roman" w:hAnsi="Times New Roman"/>
          <w:b w:val="1"/>
          <w:i w:val="1"/>
          <w:color w:val="000000"/>
          <w:sz w:val="24"/>
          <w:szCs w:val="24"/>
          <w:highlight w:val="white"/>
          <w:rtl w:val="0"/>
        </w:rPr>
        <w:t xml:space="preserve">randevu kapasitesinin en az %70'i "İlk Muayene Cetveli" için, en fazla %30'u ise "Devam Eden Muayene Cetveli" için ayrılır.</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u w:val="single"/>
          <w:rtl w:val="0"/>
        </w:rPr>
        <w:t xml:space="preserve">Sağlık tesislerinin talepleri doğrultusunda polikliniklerin hizmet gerekleri değerlendirilir ve ilgili Genel Müdürlüklerce bu oranlarda değişiklik yapılabilir.”</w:t>
      </w:r>
      <w:r w:rsidDel="00000000" w:rsidR="00000000" w:rsidRPr="00000000">
        <w:rPr>
          <w:rtl w:val="0"/>
        </w:rPr>
      </w:r>
    </w:p>
    <w:p w:rsidR="00000000" w:rsidDel="00000000" w:rsidP="00000000" w:rsidRDefault="00000000" w:rsidRPr="00000000" w14:paraId="00000022">
      <w:pPr>
        <w:shd w:fill="ffffff" w:val="clear"/>
        <w:spacing w:after="150" w:before="178" w:lineRule="auto"/>
        <w:ind w:firstLine="708"/>
        <w:jc w:val="both"/>
        <w:rPr>
          <w:rFonts w:ascii="Times New Roman" w:cs="Times New Roman" w:eastAsia="Times New Roman" w:hAnsi="Times New Roman"/>
          <w:i w:val="1"/>
          <w:color w:val="000000"/>
          <w:sz w:val="24"/>
          <w:szCs w:val="24"/>
          <w:highlight w:val="white"/>
          <w:u w:val="single"/>
        </w:rPr>
      </w:pPr>
      <w:r w:rsidDel="00000000" w:rsidR="00000000" w:rsidRPr="00000000">
        <w:rPr>
          <w:rFonts w:ascii="Times New Roman" w:cs="Times New Roman" w:eastAsia="Times New Roman" w:hAnsi="Times New Roman"/>
          <w:i w:val="1"/>
          <w:color w:val="000000"/>
          <w:sz w:val="24"/>
          <w:szCs w:val="24"/>
          <w:rtl w:val="0"/>
        </w:rPr>
        <w:t xml:space="preserve">2.6. </w:t>
      </w:r>
      <w:r w:rsidDel="00000000" w:rsidR="00000000" w:rsidRPr="00000000">
        <w:rPr>
          <w:rFonts w:ascii="Times New Roman" w:cs="Times New Roman" w:eastAsia="Times New Roman" w:hAnsi="Times New Roman"/>
          <w:i w:val="1"/>
          <w:color w:val="000000"/>
          <w:sz w:val="24"/>
          <w:szCs w:val="24"/>
          <w:highlight w:val="white"/>
          <w:rtl w:val="0"/>
        </w:rPr>
        <w:t xml:space="preserve">"Sağlık Kurulu Cetveli" kendi içerisinde "Başvuru Randevusu" ve "Muayene Randevusu" olmak üzere ikiye ayrılır. "Başvuru Randevusu" için Sağlı Kurulu birimine, "Muayene Randevusu" için ilgili kurul hekimlerine cetvel tanımlanır. </w:t>
      </w:r>
      <w:r w:rsidDel="00000000" w:rsidR="00000000" w:rsidRPr="00000000">
        <w:rPr>
          <w:rFonts w:ascii="Times New Roman" w:cs="Times New Roman" w:eastAsia="Times New Roman" w:hAnsi="Times New Roman"/>
          <w:i w:val="1"/>
          <w:color w:val="000000"/>
          <w:sz w:val="24"/>
          <w:szCs w:val="24"/>
          <w:highlight w:val="white"/>
          <w:u w:val="single"/>
          <w:rtl w:val="0"/>
        </w:rPr>
        <w:t xml:space="preserve">Sağlık Kurulu muayene randevuları, sağlık tesisi tarafından planlanır.</w:t>
      </w:r>
    </w:p>
    <w:p w:rsidR="00000000" w:rsidDel="00000000" w:rsidP="00000000" w:rsidRDefault="00000000" w:rsidRPr="00000000" w14:paraId="00000023">
      <w:pPr>
        <w:shd w:fill="ffffff" w:val="clear"/>
        <w:spacing w:after="150" w:before="178" w:lineRule="auto"/>
        <w:ind w:firstLine="708"/>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color w:val="0f0f0f"/>
          <w:sz w:val="24"/>
          <w:szCs w:val="24"/>
          <w:rtl w:val="0"/>
        </w:rPr>
        <w:t xml:space="preserve">2.8. </w:t>
      </w:r>
      <w:r w:rsidDel="00000000" w:rsidR="00000000" w:rsidRPr="00000000">
        <w:rPr>
          <w:rFonts w:ascii="Times New Roman" w:cs="Times New Roman" w:eastAsia="Times New Roman" w:hAnsi="Times New Roman"/>
          <w:i w:val="1"/>
          <w:color w:val="000000"/>
          <w:sz w:val="24"/>
          <w:szCs w:val="24"/>
          <w:highlight w:val="white"/>
          <w:rtl w:val="0"/>
        </w:rPr>
        <w:t xml:space="preserve">Sağlık tesisi tarafından gerekli görüldüğü durumlarda vatandaşlara, hastaneden ayrılmalarından önce "İlk Muayene", "Kontrol" ve </w:t>
      </w:r>
      <w:r w:rsidDel="00000000" w:rsidR="00000000" w:rsidRPr="00000000">
        <w:rPr>
          <w:rFonts w:ascii="Times New Roman" w:cs="Times New Roman" w:eastAsia="Times New Roman" w:hAnsi="Times New Roman"/>
          <w:i w:val="1"/>
          <w:color w:val="000000"/>
          <w:sz w:val="24"/>
          <w:szCs w:val="24"/>
          <w:highlight w:val="white"/>
          <w:u w:val="single"/>
          <w:rtl w:val="0"/>
        </w:rPr>
        <w:t xml:space="preserve">"Sağlık Kurulu"</w:t>
      </w:r>
      <w:r w:rsidDel="00000000" w:rsidR="00000000" w:rsidRPr="00000000">
        <w:rPr>
          <w:rFonts w:ascii="Times New Roman" w:cs="Times New Roman" w:eastAsia="Times New Roman" w:hAnsi="Times New Roman"/>
          <w:i w:val="1"/>
          <w:color w:val="000000"/>
          <w:sz w:val="24"/>
          <w:szCs w:val="24"/>
          <w:highlight w:val="white"/>
          <w:rtl w:val="0"/>
        </w:rPr>
        <w:t xml:space="preserve"> randevularının verilmesi sağlanır.</w:t>
      </w:r>
    </w:p>
    <w:p w:rsidR="00000000" w:rsidDel="00000000" w:rsidP="00000000" w:rsidRDefault="00000000" w:rsidRPr="00000000" w14:paraId="00000024">
      <w:pPr>
        <w:pStyle w:val="Heading2"/>
        <w:shd w:fill="ffffff" w:val="clear"/>
        <w:jc w:val="both"/>
        <w:rPr>
          <w:rFonts w:ascii="PT Sans" w:cs="PT Sans" w:eastAsia="PT Sans" w:hAnsi="PT Sans"/>
          <w:color w:val="cc0000"/>
          <w:sz w:val="27"/>
          <w:szCs w:val="27"/>
        </w:rPr>
      </w:pPr>
      <w:r w:rsidDel="00000000" w:rsidR="00000000" w:rsidRPr="00000000">
        <w:rPr>
          <w:rFonts w:ascii="PT Sans" w:cs="PT Sans" w:eastAsia="PT Sans" w:hAnsi="PT Sans"/>
          <w:color w:val="cc0000"/>
          <w:sz w:val="27"/>
          <w:szCs w:val="27"/>
          <w:rtl w:val="0"/>
        </w:rPr>
        <w:t xml:space="preserve">ŞÖYLE Kİ İŞBU YÖNERGE KAPSAMINDA SAĞLIK KURULU RAPORU ALMAK İSTEYEN HASTALAR MHRS (Merkezi Hastane Randevu Sistemi) ÜZERİNDEN RANDEVU ALMAK ZORUNDADIR. </w:t>
      </w:r>
    </w:p>
    <w:p w:rsidR="00000000" w:rsidDel="00000000" w:rsidP="00000000" w:rsidRDefault="00000000" w:rsidRPr="00000000" w14:paraId="00000025">
      <w:pPr>
        <w:shd w:fill="ffffff" w:val="clear"/>
        <w:spacing w:after="150" w:before="178" w:lineRule="auto"/>
        <w:ind w:firstLine="708"/>
        <w:jc w:val="both"/>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26">
      <w:pPr>
        <w:shd w:fill="ffffff" w:val="clear"/>
        <w:spacing w:after="150" w:before="178" w:lineRule="auto"/>
        <w:ind w:firstLine="708"/>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Pr>
        <w:drawing>
          <wp:inline distB="0" distT="0" distL="0" distR="0">
            <wp:extent cx="5762625" cy="287655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62625" cy="28765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hd w:fill="ffffff" w:val="clear"/>
        <w:spacing w:after="150" w:before="178" w:lineRule="auto"/>
        <w:ind w:firstLine="708"/>
        <w:jc w:val="both"/>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28">
      <w:pPr>
        <w:shd w:fill="ffffff" w:val="clear"/>
        <w:spacing w:after="150" w:before="178" w:lineRule="auto"/>
        <w:ind w:firstLine="708"/>
        <w:jc w:val="both"/>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29">
      <w:pPr>
        <w:shd w:fill="ffffff" w:val="clear"/>
        <w:spacing w:after="150" w:before="178" w:lineRule="auto"/>
        <w:ind w:firstLine="708"/>
        <w:jc w:val="both"/>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2A">
      <w:pPr>
        <w:shd w:fill="ffffff" w:val="clear"/>
        <w:spacing w:after="150" w:before="178" w:lineRule="auto"/>
        <w:ind w:firstLine="708"/>
        <w:jc w:val="both"/>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2B">
      <w:pPr>
        <w:spacing w:after="120" w:line="264"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120" w:line="264"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Eskişehir 1. İdare Mahkemesi 2021/886E, 09.12.2021 tarihli Kararı</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spacing w:after="120" w:line="264"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Yataklı Tedavi Kurumları İşletme Yönetmeliği'nin 12. maddesinde</w:t>
      </w:r>
      <w:r w:rsidDel="00000000" w:rsidR="00000000" w:rsidRPr="00000000">
        <w:rPr>
          <w:rFonts w:ascii="Times New Roman" w:cs="Times New Roman" w:eastAsia="Times New Roman" w:hAnsi="Times New Roman"/>
          <w:i w:val="1"/>
          <w:sz w:val="24"/>
          <w:szCs w:val="24"/>
          <w:rtl w:val="0"/>
        </w:rPr>
        <w:t xml:space="preserve">, poliklinik muayene başlama ve bitiş saatlerinin belirlenmesi hususunda Başhekimlik'lere takdir yetkisi verilmekte ise de, Danıştay’ın yerleşik içtihatlarında da belirtildiği üzere, </w:t>
      </w:r>
      <w:r w:rsidDel="00000000" w:rsidR="00000000" w:rsidRPr="00000000">
        <w:rPr>
          <w:rFonts w:ascii="Times New Roman" w:cs="Times New Roman" w:eastAsia="Times New Roman" w:hAnsi="Times New Roman"/>
          <w:b w:val="1"/>
          <w:i w:val="1"/>
          <w:sz w:val="24"/>
          <w:szCs w:val="24"/>
          <w:u w:val="single"/>
          <w:rtl w:val="0"/>
        </w:rPr>
        <w:t xml:space="preserve">bu yetkinin mutlak ve sınırsız olmayıp</w:t>
      </w:r>
      <w:r w:rsidDel="00000000" w:rsidR="00000000" w:rsidRPr="00000000">
        <w:rPr>
          <w:rFonts w:ascii="Times New Roman" w:cs="Times New Roman" w:eastAsia="Times New Roman" w:hAnsi="Times New Roman"/>
          <w:i w:val="1"/>
          <w:sz w:val="24"/>
          <w:szCs w:val="24"/>
          <w:rtl w:val="0"/>
        </w:rPr>
        <w:t xml:space="preserve">, kamu yararı ve hizmet gerekleri ile sınırlı olduğu, takdir yetkisine istinaden tesis edilen işlemlerin sebep ve maksat unsurları yönünden hukuka uygunluk denetimine tabi tutulacağı, takdir yetkisinin kamu yararı ve hizmet gerekleri sınırları içinde kullanılması ve takdir yetkisine istinaden tesis edilen işlemin dava konusu edilmesi halinde de, bu sınırlar içinde kullanıldığının idarece ortaya konulması gerektiği, işlemin sebebine dayanak gösterilen olay ve nedenlerin gerçeği yansıtmaması yanında, işlemin tesisi için yeterli bulunmaması ve takdir yetkisinin kamu yararı ve hizmet gerekleri gözardı edilerek kullanıldığının kanıtlanması ya da yargı merciince saptanması halinde, sözü edilen bu durumların dava konusu idari işlemin sebep, konu ve maksat yönlerinden hukuka aykırılığı nedeniyle iptalini gerektireceği yerleşik yargısal içtihatlarla kabul edilmiş bulunmaktadır</w:t>
      </w:r>
      <w:r w:rsidDel="00000000" w:rsidR="00000000" w:rsidRPr="00000000">
        <w:rPr>
          <w:rFonts w:ascii="Times New Roman" w:cs="Times New Roman" w:eastAsia="Times New Roman" w:hAnsi="Times New Roman"/>
          <w:sz w:val="24"/>
          <w:szCs w:val="24"/>
          <w:rtl w:val="0"/>
        </w:rPr>
        <w:t xml:space="preserve">” gerekçesine yer verilerek poliklinik muayenelerinde başhekimliklerin yetkisinin mutlak ve sınırsız olmadığını göstermektedir.</w:t>
      </w:r>
    </w:p>
    <w:p w:rsidR="00000000" w:rsidDel="00000000" w:rsidP="00000000" w:rsidRDefault="00000000" w:rsidRPr="00000000" w14:paraId="0000002E">
      <w:pPr>
        <w:spacing w:after="120" w:line="264"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Nitekim bu Karar doğrultusunda 09.12.2021 tarih ve 2021/12 sayılı Sağlık Bakanı Sn. Dr. Fahrettin KOCA imzalı Genelge’nin 3. maddesi;</w:t>
      </w:r>
    </w:p>
    <w:p w:rsidR="00000000" w:rsidDel="00000000" w:rsidP="00000000" w:rsidRDefault="00000000" w:rsidRPr="00000000" w14:paraId="0000002F">
      <w:pPr>
        <w:spacing w:after="120" w:line="264"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Muayene süresi hekime ve ilgili branşın özelliğine göre değişebildiğinden </w:t>
      </w:r>
      <w:r w:rsidDel="00000000" w:rsidR="00000000" w:rsidRPr="00000000">
        <w:rPr>
          <w:rFonts w:ascii="Times New Roman" w:cs="Times New Roman" w:eastAsia="Times New Roman" w:hAnsi="Times New Roman"/>
          <w:b w:val="1"/>
          <w:i w:val="1"/>
          <w:sz w:val="24"/>
          <w:szCs w:val="24"/>
          <w:u w:val="single"/>
          <w:rtl w:val="0"/>
        </w:rPr>
        <w:t xml:space="preserve">randevu aralıkları en etkili şekilde hekimlerimiz tarafından oluşturulmalı</w:t>
      </w:r>
      <w:r w:rsidDel="00000000" w:rsidR="00000000" w:rsidRPr="00000000">
        <w:rPr>
          <w:rFonts w:ascii="Times New Roman" w:cs="Times New Roman" w:eastAsia="Times New Roman" w:hAnsi="Times New Roman"/>
          <w:i w:val="1"/>
          <w:sz w:val="24"/>
          <w:szCs w:val="24"/>
          <w:rtl w:val="0"/>
        </w:rPr>
        <w:t xml:space="preserve"> ve başhekimliklerimizce onaylanmalıdır.</w:t>
      </w:r>
      <w:r w:rsidDel="00000000" w:rsidR="00000000" w:rsidRPr="00000000">
        <w:rPr>
          <w:rFonts w:ascii="Times New Roman" w:cs="Times New Roman" w:eastAsia="Times New Roman" w:hAnsi="Times New Roman"/>
          <w:sz w:val="24"/>
          <w:szCs w:val="24"/>
          <w:rtl w:val="0"/>
        </w:rPr>
        <w:t xml:space="preserve">” şeklindedir. Genelge’de belirtildiği üzere; randevu aralıkları hekim tarafından belirlenmeli, başhekimin yetkisi ise hekim tarafından belirlenen randevu aralıklarını onaylamaktır.</w:t>
      </w:r>
    </w:p>
    <w:p w:rsidR="00000000" w:rsidDel="00000000" w:rsidP="00000000" w:rsidRDefault="00000000" w:rsidRPr="00000000" w14:paraId="00000030">
      <w:pPr>
        <w:spacing w:after="120" w:line="264"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Sağlık Bakanlığı Kamu Hastaneleri Genel Müdürlüğünün</w:t>
      </w:r>
      <w:r w:rsidDel="00000000" w:rsidR="00000000" w:rsidRPr="00000000">
        <w:rPr>
          <w:rFonts w:ascii="Times New Roman" w:cs="Times New Roman" w:eastAsia="Times New Roman" w:hAnsi="Times New Roman"/>
          <w:sz w:val="24"/>
          <w:szCs w:val="24"/>
          <w:rtl w:val="0"/>
        </w:rPr>
        <w:t xml:space="preserve"> 10.03.2022 tarih E-32693113-010.99 sayılı yazıda “</w:t>
      </w:r>
      <w:r w:rsidDel="00000000" w:rsidR="00000000" w:rsidRPr="00000000">
        <w:rPr>
          <w:rFonts w:ascii="Times New Roman" w:cs="Times New Roman" w:eastAsia="Times New Roman" w:hAnsi="Times New Roman"/>
          <w:i w:val="1"/>
          <w:sz w:val="24"/>
          <w:szCs w:val="24"/>
          <w:rtl w:val="0"/>
        </w:rPr>
        <w:t xml:space="preserve">MHRS kapsamında verilecek randevu hizmetlerine ilişkin usul ve esaslar yönerge ile oluşturulmuştur…randevulu ve randevusuz olarak poliklinik hizmetleri sunulacaktır.” </w:t>
      </w:r>
      <w:r w:rsidDel="00000000" w:rsidR="00000000" w:rsidRPr="00000000">
        <w:rPr>
          <w:rFonts w:ascii="Times New Roman" w:cs="Times New Roman" w:eastAsia="Times New Roman" w:hAnsi="Times New Roman"/>
          <w:sz w:val="24"/>
          <w:szCs w:val="24"/>
          <w:rtl w:val="0"/>
        </w:rPr>
        <w:t xml:space="preserve">şeklindedir.</w:t>
      </w:r>
    </w:p>
    <w:p w:rsidR="00000000" w:rsidDel="00000000" w:rsidP="00000000" w:rsidRDefault="00000000" w:rsidRPr="00000000" w14:paraId="00000031">
      <w:pPr>
        <w:spacing w:after="120" w:line="264"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Genel hukuk ilkeleri, tıbbi standartlar, mevzuat ve konuyla ilgili yargı içtihatları bir arada değerlendirildiğinde; dikkat ve özen yükümlülüğü ile hasta haklarına uygun bir şekilde sağlık hizmeti sunarak </w:t>
      </w:r>
      <w:r w:rsidDel="00000000" w:rsidR="00000000" w:rsidRPr="00000000">
        <w:rPr>
          <w:rFonts w:ascii="Times New Roman" w:cs="Times New Roman" w:eastAsia="Times New Roman" w:hAnsi="Times New Roman"/>
          <w:b w:val="1"/>
          <w:sz w:val="24"/>
          <w:szCs w:val="24"/>
          <w:rtl w:val="0"/>
        </w:rPr>
        <w:t xml:space="preserve">hekimlik meslek ve görevimi hakkıyla yerine getirebilmem için,</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line="264"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Yukarıda ki mevzuat hükümlerine istinaden ...... dakikada bir hasta bakabileceğim için  günlük hizmet verebileceğim  hasta sayısının ...... olduğunu</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line="264"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MHRS yönergesine göre  belirlenen bu sayının sağlık tesisinde en az %80’ini, birinci basamak sağlık tesislerinde ve ASM’lerde ise en az %50’sini karşılayacak şekilde hastaların MHRS randevu sisteminden randevu alabilmesinin sağlanması</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line="264"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MHRS yönergesine göre randevusu alanların </w:t>
      </w:r>
      <w:r w:rsidDel="00000000" w:rsidR="00000000" w:rsidRPr="00000000">
        <w:rPr>
          <w:rFonts w:ascii="Times New Roman" w:cs="Times New Roman" w:eastAsia="Times New Roman" w:hAnsi="Times New Roman"/>
          <w:b w:val="1"/>
          <w:i w:val="1"/>
          <w:color w:val="000000"/>
          <w:sz w:val="24"/>
          <w:szCs w:val="24"/>
          <w:highlight w:val="white"/>
          <w:rtl w:val="0"/>
        </w:rPr>
        <w:t xml:space="preserve">en az %70'i "İlk Muayene Cetveli" için, en fazla %30'u ise "Devam Eden Muayene Cetveli" için ayrılmasını (2. Maddede açıklandığı üzere total hasta kapasitesinin %80 ni kadar MHRS randevusu alabilecek hastaların en az %70'lik kısmının “İlk Muayene Olacak” hastalara %30'luk kısmının ise "Devam Eden Muayene” olacak hastalara ayrılacak şekilde düzenlenmesini) </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line="264" w:lineRule="auto"/>
        <w:ind w:left="0" w:firstLine="0"/>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Sağlık kurulu raporu almak isteyenler, MHRS (Merkezi Hastane Randevu Sistemi) üzerinden randevu almak zorunda olduğundan MHRS dışı randevu verilmemesini, bu </w:t>
      </w:r>
      <w:r w:rsidDel="00000000" w:rsidR="00000000" w:rsidRPr="00000000">
        <w:rPr>
          <w:rFonts w:ascii="Times New Roman" w:cs="Times New Roman" w:eastAsia="Times New Roman" w:hAnsi="Times New Roman"/>
          <w:b w:val="1"/>
          <w:color w:val="000000"/>
          <w:sz w:val="24"/>
          <w:szCs w:val="24"/>
          <w:u w:val="single"/>
          <w:rtl w:val="0"/>
        </w:rPr>
        <w:t xml:space="preserve">hastaların yalnızca MHRS randevu sisteminden randevu alabilmesinin sağlanması</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64"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64"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64"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64"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line="264"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Gerekli düzenleme, hazırlık, kontrol ve bilimsel gelişim için saat 09:00'dan önce ve saat 16:00'dan sonra MHRS randevusu verilmemesini</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line="264"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Aksi takdirde yukarıda kendi belirlediğim sürelere aykırı şekilde oluşturulan MHRS Randevuları sebebiyle yaşanabilecek </w:t>
      </w:r>
      <w:r w:rsidDel="00000000" w:rsidR="00000000" w:rsidRPr="00000000">
        <w:rPr>
          <w:rFonts w:ascii="Times New Roman" w:cs="Times New Roman" w:eastAsia="Times New Roman" w:hAnsi="Times New Roman"/>
          <w:b w:val="1"/>
          <w:color w:val="000000"/>
          <w:sz w:val="24"/>
          <w:szCs w:val="24"/>
          <w:rtl w:val="0"/>
        </w:rPr>
        <w:t xml:space="preserve">şiddet, tıbbi hata gibi olumsuz sonuçlardan doğan zararlardan doğrudan idarenin sorumlu olduğu ve Anayasa m.129/5 amir hükmü doğrultusunda MHRS Randevularını hukuka ve mevzuata aykırı şekilde oluşturarak hizmet ve organizasyon kusuruna sebep olan kamu görevlisine rücu edilmesi gerektiği ve bu sebeple özenli ve hakkıyla görevimi yerine getirme talebimden dolayı şahsımın sorumlu olmayacağını,</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line="264"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 hususları açıklayıcı şeklide gösterir dilekçemi verdiğim tarihin sonraki 5 günü içerir tarafıma ait MHRS randevu çizelgesinin bir örneğinin tarafıma verilmesini talep ederim.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64"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Saygılarımla.03.05.2023</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64"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64"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ab/>
        <w:tab/>
        <w:tab/>
        <w:tab/>
        <w:t xml:space="preserve">Dr.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line="264" w:lineRule="auto"/>
        <w:ind w:left="70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after="200" w:line="276"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200" w:line="276"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200" w:line="276" w:lineRule="auto"/>
        <w:ind w:firstLine="708"/>
        <w:jc w:val="both"/>
        <w:rPr>
          <w:rFonts w:ascii="Times New Roman" w:cs="Times New Roman" w:eastAsia="Times New Roman" w:hAnsi="Times New Roman"/>
          <w:b w:val="1"/>
          <w:sz w:val="24"/>
          <w:szCs w:val="24"/>
        </w:rPr>
      </w:pPr>
      <w:r w:rsidDel="00000000" w:rsidR="00000000" w:rsidRPr="00000000">
        <w:rPr>
          <w:rtl w:val="0"/>
        </w:rPr>
      </w:r>
    </w:p>
    <w:sectPr>
      <w:footerReference r:id="rId8" w:type="default"/>
      <w:pgSz w:h="16838" w:w="11906" w:orient="portrait"/>
      <w:pgMar w:bottom="1417" w:top="426"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T San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color w:val="002060"/>
        <w:rtl w:val="0"/>
      </w:rPr>
      <w:t xml:space="preserve">Adres:</w:t>
    </w:r>
    <w:r w:rsidDel="00000000" w:rsidR="00000000" w:rsidRPr="00000000">
      <w:rPr>
        <w:color w:val="000000"/>
        <w:rtl w:val="0"/>
      </w:rPr>
      <w:t xml:space="preserve"> Adalet Mah. Manas Bulvarı No:39 K:34 D:3408 Bayraklı /İZMİR</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color w:val="002060"/>
        <w:rtl w:val="0"/>
      </w:rPr>
      <w:t xml:space="preserve">Tel:</w:t>
    </w:r>
    <w:r w:rsidDel="00000000" w:rsidR="00000000" w:rsidRPr="00000000">
      <w:rPr>
        <w:color w:val="000000"/>
        <w:rtl w:val="0"/>
      </w:rPr>
      <w:t xml:space="preserve"> 0232 400 0189  </w:t>
    </w:r>
    <w:r w:rsidDel="00000000" w:rsidR="00000000" w:rsidRPr="00000000">
      <w:rPr>
        <w:color w:val="002060"/>
        <w:rtl w:val="0"/>
      </w:rPr>
      <w:t xml:space="preserve">E-posta: </w:t>
    </w:r>
    <w:r w:rsidDel="00000000" w:rsidR="00000000" w:rsidRPr="00000000">
      <w:rPr>
        <w:color w:val="000000"/>
        <w:rtl w:val="0"/>
      </w:rPr>
      <w:t xml:space="preserve">bilgi@hekimbirliksen.org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8" w:hanging="360"/>
      </w:pPr>
      <w:rPr>
        <w:b w:val="1"/>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