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1A77" w14:textId="19AE5290" w:rsidR="00912F30" w:rsidRPr="004404B4" w:rsidRDefault="00B95439" w:rsidP="00ED5CA8">
      <w:pPr>
        <w:jc w:val="center"/>
        <w:rPr>
          <w:b/>
          <w:bCs/>
          <w:color w:val="FF0000"/>
          <w:sz w:val="20"/>
          <w:szCs w:val="20"/>
        </w:rPr>
      </w:pPr>
      <w:bookmarkStart w:id="0" w:name="_GoBack"/>
      <w:bookmarkEnd w:id="0"/>
      <w:r w:rsidRPr="004404B4">
        <w:rPr>
          <w:noProof/>
          <w:sz w:val="20"/>
          <w:szCs w:val="20"/>
          <w:lang w:eastAsia="tr-TR"/>
        </w:rPr>
        <w:drawing>
          <wp:anchor distT="0" distB="0" distL="114300" distR="114300" simplePos="0" relativeHeight="251657216" behindDoc="0" locked="0" layoutInCell="1" allowOverlap="1" wp14:anchorId="4ACDE962" wp14:editId="55CFD472">
            <wp:simplePos x="0" y="0"/>
            <wp:positionH relativeFrom="column">
              <wp:posOffset>4281805</wp:posOffset>
            </wp:positionH>
            <wp:positionV relativeFrom="paragraph">
              <wp:posOffset>5715</wp:posOffset>
            </wp:positionV>
            <wp:extent cx="1467485" cy="1464945"/>
            <wp:effectExtent l="0" t="0" r="0" b="1905"/>
            <wp:wrapThrough wrapText="bothSides">
              <wp:wrapPolygon edited="0">
                <wp:start x="0" y="0"/>
                <wp:lineTo x="0" y="21347"/>
                <wp:lineTo x="21310" y="21347"/>
                <wp:lineTo x="2131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748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4B4">
        <w:rPr>
          <w:noProof/>
          <w:sz w:val="20"/>
          <w:szCs w:val="20"/>
          <w:lang w:eastAsia="tr-TR"/>
        </w:rPr>
        <w:drawing>
          <wp:anchor distT="0" distB="0" distL="114300" distR="114300" simplePos="0" relativeHeight="251672576" behindDoc="0" locked="0" layoutInCell="1" allowOverlap="1" wp14:anchorId="54678960" wp14:editId="25029478">
            <wp:simplePos x="0" y="0"/>
            <wp:positionH relativeFrom="column">
              <wp:posOffset>4445</wp:posOffset>
            </wp:positionH>
            <wp:positionV relativeFrom="paragraph">
              <wp:posOffset>5715</wp:posOffset>
            </wp:positionV>
            <wp:extent cx="1438275" cy="1436370"/>
            <wp:effectExtent l="0" t="0" r="9525" b="0"/>
            <wp:wrapThrough wrapText="bothSides">
              <wp:wrapPolygon edited="0">
                <wp:start x="0" y="0"/>
                <wp:lineTo x="0" y="21199"/>
                <wp:lineTo x="21457" y="21199"/>
                <wp:lineTo x="2145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74FFA" w14:textId="77777777" w:rsidR="004404B4" w:rsidRPr="00B95439" w:rsidRDefault="004404B4" w:rsidP="00ED5CA8">
      <w:pPr>
        <w:jc w:val="center"/>
        <w:rPr>
          <w:b/>
          <w:bCs/>
          <w:color w:val="FF0000"/>
          <w:sz w:val="20"/>
          <w:szCs w:val="20"/>
        </w:rPr>
      </w:pPr>
    </w:p>
    <w:p w14:paraId="57A45E8F" w14:textId="4766726E" w:rsidR="005B381A" w:rsidRDefault="00ED5CA8" w:rsidP="00ED5CA8">
      <w:pPr>
        <w:jc w:val="center"/>
        <w:rPr>
          <w:b/>
          <w:bCs/>
          <w:color w:val="FF0000"/>
          <w:sz w:val="64"/>
          <w:szCs w:val="64"/>
        </w:rPr>
      </w:pPr>
      <w:r w:rsidRPr="00ED5CA8">
        <w:rPr>
          <w:b/>
          <w:bCs/>
          <w:color w:val="FF0000"/>
          <w:sz w:val="64"/>
          <w:szCs w:val="64"/>
        </w:rPr>
        <w:t>HEKİM BİRLİĞİ</w:t>
      </w:r>
    </w:p>
    <w:p w14:paraId="4024B9FD" w14:textId="77777777" w:rsidR="00671982" w:rsidRPr="00E47BB7" w:rsidRDefault="00671982" w:rsidP="00671982">
      <w:pPr>
        <w:jc w:val="center"/>
        <w:rPr>
          <w:b/>
          <w:bCs/>
          <w:color w:val="000000" w:themeColor="text1"/>
          <w:sz w:val="24"/>
          <w:szCs w:val="24"/>
        </w:rPr>
      </w:pPr>
      <w:r w:rsidRPr="00E47BB7">
        <w:rPr>
          <w:b/>
          <w:bCs/>
          <w:color w:val="000000" w:themeColor="text1"/>
          <w:sz w:val="24"/>
          <w:szCs w:val="24"/>
        </w:rPr>
        <w:t>Hekim ve Sağlık Çalışanları Birliği</w:t>
      </w:r>
    </w:p>
    <w:p w14:paraId="4040C2F2" w14:textId="5BFFFF44" w:rsidR="00671982" w:rsidRPr="00E47BB7" w:rsidRDefault="00671982" w:rsidP="00671982">
      <w:pPr>
        <w:jc w:val="center"/>
        <w:rPr>
          <w:b/>
          <w:bCs/>
          <w:color w:val="000000" w:themeColor="text1"/>
          <w:sz w:val="24"/>
          <w:szCs w:val="24"/>
        </w:rPr>
      </w:pPr>
      <w:r w:rsidRPr="00E47BB7">
        <w:rPr>
          <w:b/>
          <w:bCs/>
          <w:color w:val="000000" w:themeColor="text1"/>
          <w:sz w:val="24"/>
          <w:szCs w:val="24"/>
        </w:rPr>
        <w:t>Sağlık ve Sosyal Hizmetler Sendikası</w:t>
      </w:r>
    </w:p>
    <w:p w14:paraId="44FA919A" w14:textId="015102FA" w:rsidR="001B4A2F" w:rsidRDefault="001B4A2F" w:rsidP="00E319F1">
      <w:pPr>
        <w:rPr>
          <w:b/>
          <w:bCs/>
          <w:sz w:val="20"/>
          <w:szCs w:val="20"/>
        </w:rPr>
      </w:pPr>
    </w:p>
    <w:p w14:paraId="3094D762" w14:textId="77777777" w:rsidR="00272F2B" w:rsidRDefault="00272F2B" w:rsidP="00E319F1">
      <w:pPr>
        <w:rPr>
          <w:b/>
          <w:bCs/>
          <w:sz w:val="20"/>
          <w:szCs w:val="20"/>
        </w:rPr>
      </w:pPr>
    </w:p>
    <w:p w14:paraId="765D478E" w14:textId="6F537BDD" w:rsidR="002A04AF" w:rsidRPr="002A04AF" w:rsidRDefault="0051361C" w:rsidP="002A04AF">
      <w:pPr>
        <w:spacing w:after="60"/>
        <w:jc w:val="center"/>
        <w:rPr>
          <w:rFonts w:ascii="Times New Roman" w:hAnsi="Times New Roman" w:cs="Times New Roman"/>
          <w:b/>
          <w:sz w:val="28"/>
          <w:szCs w:val="28"/>
        </w:rPr>
      </w:pPr>
      <w:r>
        <w:rPr>
          <w:rFonts w:ascii="Times New Roman" w:hAnsi="Times New Roman" w:cs="Times New Roman"/>
          <w:b/>
          <w:bCs/>
          <w:sz w:val="28"/>
          <w:szCs w:val="28"/>
        </w:rPr>
        <w:t xml:space="preserve">657 Sayılı DMK Göre Disiplin Soruşturması </w:t>
      </w:r>
      <w:proofErr w:type="gramStart"/>
      <w:r w:rsidR="002A04AF">
        <w:rPr>
          <w:rFonts w:ascii="Times New Roman" w:hAnsi="Times New Roman" w:cs="Times New Roman"/>
          <w:b/>
          <w:bCs/>
          <w:sz w:val="28"/>
          <w:szCs w:val="28"/>
        </w:rPr>
        <w:t>H</w:t>
      </w:r>
      <w:r w:rsidR="002A04AF" w:rsidRPr="002A04AF">
        <w:rPr>
          <w:rFonts w:ascii="Times New Roman" w:hAnsi="Times New Roman" w:cs="Times New Roman"/>
          <w:b/>
          <w:bCs/>
          <w:sz w:val="28"/>
          <w:szCs w:val="28"/>
        </w:rPr>
        <w:t>alinde</w:t>
      </w:r>
      <w:r w:rsidR="002A04AF" w:rsidRPr="002A04AF">
        <w:rPr>
          <w:rFonts w:ascii="Times New Roman" w:hAnsi="Times New Roman" w:cs="Times New Roman"/>
          <w:b/>
          <w:sz w:val="28"/>
          <w:szCs w:val="28"/>
        </w:rPr>
        <w:t xml:space="preserve"> :</w:t>
      </w:r>
      <w:proofErr w:type="gramEnd"/>
    </w:p>
    <w:p w14:paraId="738EFF01" w14:textId="77777777" w:rsidR="002A04AF" w:rsidRPr="00943DEE" w:rsidRDefault="002A04AF" w:rsidP="002A04AF">
      <w:pPr>
        <w:spacing w:after="60"/>
        <w:jc w:val="both"/>
        <w:rPr>
          <w:rFonts w:ascii="Times New Roman" w:hAnsi="Times New Roman" w:cs="Times New Roman"/>
          <w:b/>
          <w:sz w:val="28"/>
          <w:szCs w:val="28"/>
        </w:rPr>
      </w:pPr>
    </w:p>
    <w:p w14:paraId="4FD9C345" w14:textId="70C3CC5C" w:rsidR="002A04AF" w:rsidRDefault="002A04AF" w:rsidP="002A04AF">
      <w:pPr>
        <w:pStyle w:val="ListeParagraf"/>
        <w:numPr>
          <w:ilvl w:val="0"/>
          <w:numId w:val="2"/>
        </w:numPr>
        <w:spacing w:after="60"/>
        <w:jc w:val="both"/>
        <w:rPr>
          <w:rFonts w:ascii="Times New Roman" w:hAnsi="Times New Roman" w:cs="Times New Roman"/>
          <w:bCs/>
          <w:i/>
          <w:sz w:val="28"/>
          <w:szCs w:val="28"/>
        </w:rPr>
      </w:pPr>
      <w:r w:rsidRPr="00943DEE">
        <w:rPr>
          <w:rFonts w:ascii="Times New Roman" w:hAnsi="Times New Roman" w:cs="Times New Roman"/>
          <w:bCs/>
          <w:i/>
          <w:sz w:val="28"/>
          <w:szCs w:val="28"/>
        </w:rPr>
        <w:t xml:space="preserve">DERHAL </w:t>
      </w:r>
      <w:r w:rsidRPr="00943DEE">
        <w:rPr>
          <w:rFonts w:ascii="Times New Roman" w:hAnsi="Times New Roman" w:cs="Times New Roman"/>
          <w:b/>
          <w:bCs/>
          <w:i/>
          <w:sz w:val="28"/>
          <w:szCs w:val="28"/>
        </w:rPr>
        <w:t>HEKİM BİRLİĞİ SENDİKA</w:t>
      </w:r>
      <w:r w:rsidRPr="00943DEE">
        <w:rPr>
          <w:rFonts w:ascii="Times New Roman" w:hAnsi="Times New Roman" w:cs="Times New Roman"/>
          <w:bCs/>
          <w:i/>
          <w:sz w:val="28"/>
          <w:szCs w:val="28"/>
        </w:rPr>
        <w:t xml:space="preserve"> İŞ YERİ, </w:t>
      </w:r>
      <w:proofErr w:type="gramStart"/>
      <w:r w:rsidRPr="00943DEE">
        <w:rPr>
          <w:rFonts w:ascii="Times New Roman" w:hAnsi="Times New Roman" w:cs="Times New Roman"/>
          <w:bCs/>
          <w:i/>
          <w:sz w:val="28"/>
          <w:szCs w:val="28"/>
        </w:rPr>
        <w:t>İ</w:t>
      </w:r>
      <w:r w:rsidR="0035620F">
        <w:rPr>
          <w:rFonts w:ascii="Times New Roman" w:hAnsi="Times New Roman" w:cs="Times New Roman"/>
          <w:bCs/>
          <w:i/>
          <w:sz w:val="28"/>
          <w:szCs w:val="28"/>
        </w:rPr>
        <w:t>L</w:t>
      </w:r>
      <w:r w:rsidRPr="00943DEE">
        <w:rPr>
          <w:rFonts w:ascii="Times New Roman" w:hAnsi="Times New Roman" w:cs="Times New Roman"/>
          <w:bCs/>
          <w:i/>
          <w:sz w:val="28"/>
          <w:szCs w:val="28"/>
        </w:rPr>
        <w:t>ÇE ,İL</w:t>
      </w:r>
      <w:proofErr w:type="gramEnd"/>
      <w:r w:rsidRPr="00943DEE">
        <w:rPr>
          <w:rFonts w:ascii="Times New Roman" w:hAnsi="Times New Roman" w:cs="Times New Roman"/>
          <w:bCs/>
          <w:i/>
          <w:sz w:val="28"/>
          <w:szCs w:val="28"/>
        </w:rPr>
        <w:t xml:space="preserve"> BÖLGE VE YÖNETİM KURULUNA SIRALI ŞEKİLDE BİLGİ VERİLECEK. SENDİKA TEMSİLCİĞİ AVUKAT </w:t>
      </w:r>
      <w:proofErr w:type="gramStart"/>
      <w:r w:rsidRPr="00943DEE">
        <w:rPr>
          <w:rFonts w:ascii="Times New Roman" w:hAnsi="Times New Roman" w:cs="Times New Roman"/>
          <w:bCs/>
          <w:i/>
          <w:sz w:val="28"/>
          <w:szCs w:val="28"/>
        </w:rPr>
        <w:t>DAHİL</w:t>
      </w:r>
      <w:proofErr w:type="gramEnd"/>
      <w:r w:rsidRPr="00943DEE">
        <w:rPr>
          <w:rFonts w:ascii="Times New Roman" w:hAnsi="Times New Roman" w:cs="Times New Roman"/>
          <w:bCs/>
          <w:i/>
          <w:sz w:val="28"/>
          <w:szCs w:val="28"/>
        </w:rPr>
        <w:t xml:space="preserve"> HUKUKİ DESTEK İÇİN GEREKLİ GİRİŞİMLERE BAŞLANACAK.</w:t>
      </w:r>
    </w:p>
    <w:p w14:paraId="2283E806" w14:textId="08900703" w:rsidR="0051361C" w:rsidRDefault="0051361C" w:rsidP="002A04AF">
      <w:pPr>
        <w:pStyle w:val="ListeParagraf"/>
        <w:numPr>
          <w:ilvl w:val="0"/>
          <w:numId w:val="2"/>
        </w:numPr>
        <w:spacing w:after="60"/>
        <w:jc w:val="both"/>
        <w:rPr>
          <w:rFonts w:ascii="Times New Roman" w:hAnsi="Times New Roman" w:cs="Times New Roman"/>
          <w:bCs/>
          <w:i/>
          <w:sz w:val="28"/>
          <w:szCs w:val="28"/>
        </w:rPr>
      </w:pPr>
      <w:r>
        <w:rPr>
          <w:rFonts w:ascii="Times New Roman" w:hAnsi="Times New Roman" w:cs="Times New Roman"/>
          <w:bCs/>
          <w:i/>
          <w:sz w:val="28"/>
          <w:szCs w:val="28"/>
        </w:rPr>
        <w:t>Yazılı savunma verme hakkını kullanmak esas olduğundan kesinlik ile sözlü savunma verilmemelidir.</w:t>
      </w:r>
    </w:p>
    <w:p w14:paraId="3ACD6256" w14:textId="5B468E0A" w:rsidR="0051361C" w:rsidRDefault="0051361C" w:rsidP="002A04AF">
      <w:pPr>
        <w:pStyle w:val="ListeParagraf"/>
        <w:numPr>
          <w:ilvl w:val="0"/>
          <w:numId w:val="2"/>
        </w:numPr>
        <w:spacing w:after="60"/>
        <w:jc w:val="both"/>
        <w:rPr>
          <w:rFonts w:ascii="Times New Roman" w:hAnsi="Times New Roman" w:cs="Times New Roman"/>
          <w:bCs/>
          <w:i/>
          <w:sz w:val="28"/>
          <w:szCs w:val="28"/>
        </w:rPr>
      </w:pPr>
      <w:r>
        <w:rPr>
          <w:rFonts w:ascii="Times New Roman" w:hAnsi="Times New Roman" w:cs="Times New Roman"/>
          <w:bCs/>
          <w:i/>
          <w:sz w:val="28"/>
          <w:szCs w:val="28"/>
        </w:rPr>
        <w:t>Ekli dilekçe muhakkike verilecek ve disiplin dosyasının bir örneği alınacak.(dilekçe evrak kayıttan geçirilip muhakkike verilmesi tavsiye edilir Dilekçenin bir örneği muhakkik tarafından imzalanır ve size verilir ise evrak kayıttan dilekçenin geçirilmesine gerek yoktur)</w:t>
      </w:r>
    </w:p>
    <w:p w14:paraId="16C10E01" w14:textId="4E944A3C" w:rsidR="0051361C" w:rsidRDefault="0051361C" w:rsidP="002A04AF">
      <w:pPr>
        <w:pStyle w:val="ListeParagraf"/>
        <w:numPr>
          <w:ilvl w:val="0"/>
          <w:numId w:val="2"/>
        </w:numPr>
        <w:spacing w:after="60"/>
        <w:jc w:val="both"/>
        <w:rPr>
          <w:rFonts w:ascii="Times New Roman" w:hAnsi="Times New Roman" w:cs="Times New Roman"/>
          <w:bCs/>
          <w:i/>
          <w:sz w:val="28"/>
          <w:szCs w:val="28"/>
        </w:rPr>
      </w:pPr>
      <w:r>
        <w:rPr>
          <w:rFonts w:ascii="Times New Roman" w:hAnsi="Times New Roman" w:cs="Times New Roman"/>
          <w:bCs/>
          <w:i/>
          <w:sz w:val="28"/>
          <w:szCs w:val="28"/>
        </w:rPr>
        <w:t>Alınan bilgilere istinaden Sendika Temsilcisi ve Hukuk Birimi ile beraber cevap dilekçesi düzenlenecek.</w:t>
      </w:r>
    </w:p>
    <w:p w14:paraId="08B02152" w14:textId="4461FFA5" w:rsidR="0051361C" w:rsidRDefault="0051361C" w:rsidP="002A04AF">
      <w:pPr>
        <w:pStyle w:val="ListeParagraf"/>
        <w:numPr>
          <w:ilvl w:val="0"/>
          <w:numId w:val="2"/>
        </w:numPr>
        <w:spacing w:after="60"/>
        <w:jc w:val="both"/>
        <w:rPr>
          <w:rFonts w:ascii="Times New Roman" w:hAnsi="Times New Roman" w:cs="Times New Roman"/>
          <w:bCs/>
          <w:i/>
          <w:sz w:val="28"/>
          <w:szCs w:val="28"/>
        </w:rPr>
      </w:pPr>
      <w:r>
        <w:rPr>
          <w:rFonts w:ascii="Times New Roman" w:hAnsi="Times New Roman" w:cs="Times New Roman"/>
          <w:bCs/>
          <w:i/>
          <w:sz w:val="28"/>
          <w:szCs w:val="28"/>
        </w:rPr>
        <w:t>Eğer muhakkik disiplin dosyasının bir örneğini vermez ise yazılı savunma verme süresi geçirilmeden yazılı savunma muhakkike verilecek.</w:t>
      </w:r>
    </w:p>
    <w:p w14:paraId="7138E21B" w14:textId="27FA6C8E" w:rsidR="0051361C" w:rsidRDefault="0051361C" w:rsidP="002A04AF">
      <w:pPr>
        <w:pStyle w:val="ListeParagraf"/>
        <w:numPr>
          <w:ilvl w:val="0"/>
          <w:numId w:val="2"/>
        </w:numPr>
        <w:spacing w:after="60"/>
        <w:jc w:val="both"/>
        <w:rPr>
          <w:rFonts w:ascii="Times New Roman" w:hAnsi="Times New Roman" w:cs="Times New Roman"/>
          <w:bCs/>
          <w:i/>
          <w:sz w:val="28"/>
          <w:szCs w:val="28"/>
        </w:rPr>
      </w:pPr>
      <w:r>
        <w:rPr>
          <w:rFonts w:ascii="Times New Roman" w:hAnsi="Times New Roman" w:cs="Times New Roman"/>
          <w:bCs/>
          <w:i/>
          <w:sz w:val="28"/>
          <w:szCs w:val="28"/>
        </w:rPr>
        <w:t>Disiplin cezası verilmesi durumunda İl Disiplin Kuruluna itiraz edilecek. Bunun için cezanın tebliği tarihinden itibaren 7 günlük süre içerisinde Valilik İl disiplin Kuruluna itiraz hakkını kullanmak istediğini belirtir dilekçe idareye verilecek.</w:t>
      </w:r>
    </w:p>
    <w:p w14:paraId="7E993DF8"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7E02F124"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51E9E28B"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14A4E110"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145AF23D"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000BD652"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6129B831"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188C16AE"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514EE162"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5A295414"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7E8B572F"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429C90B3"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0B67E8CA"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2C5A44FB"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1E15227C"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2BD8A599"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31559B0D"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3C2A0B9A"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340BF088" w14:textId="77777777" w:rsidR="0051361C" w:rsidRDefault="0051361C" w:rsidP="0051361C">
      <w:pPr>
        <w:pStyle w:val="ListeParagraf"/>
        <w:spacing w:after="60"/>
        <w:ind w:left="360"/>
        <w:jc w:val="both"/>
        <w:rPr>
          <w:rFonts w:ascii="Times New Roman" w:hAnsi="Times New Roman" w:cs="Times New Roman"/>
          <w:bCs/>
          <w:i/>
          <w:sz w:val="28"/>
          <w:szCs w:val="28"/>
        </w:rPr>
      </w:pPr>
    </w:p>
    <w:p w14:paraId="6BE0D868" w14:textId="0233E690" w:rsidR="0051361C" w:rsidRDefault="0051361C" w:rsidP="0051361C">
      <w:pPr>
        <w:ind w:firstLine="708"/>
        <w:jc w:val="center"/>
      </w:pPr>
      <w:proofErr w:type="spellStart"/>
      <w:r>
        <w:t>Muhakkiklik</w:t>
      </w:r>
      <w:proofErr w:type="spellEnd"/>
      <w:r>
        <w:t xml:space="preserve"> </w:t>
      </w:r>
      <w:proofErr w:type="gramStart"/>
      <w:r>
        <w:t>Makamına :</w:t>
      </w:r>
      <w:proofErr w:type="gramEnd"/>
    </w:p>
    <w:p w14:paraId="4F1ECFAF" w14:textId="0654E723" w:rsidR="0051361C" w:rsidRDefault="0051361C" w:rsidP="0051361C">
      <w:pPr>
        <w:ind w:firstLine="708"/>
        <w:jc w:val="center"/>
      </w:pPr>
    </w:p>
    <w:p w14:paraId="2BDAFF99" w14:textId="77777777" w:rsidR="0051361C" w:rsidRDefault="0051361C" w:rsidP="0051361C">
      <w:pPr>
        <w:ind w:firstLine="708"/>
        <w:jc w:val="center"/>
      </w:pPr>
    </w:p>
    <w:p w14:paraId="0B8C6721" w14:textId="2FCB19AF" w:rsidR="0051361C" w:rsidRDefault="0051361C" w:rsidP="0051361C">
      <w:pPr>
        <w:ind w:firstLine="708"/>
        <w:jc w:val="both"/>
        <w:rPr>
          <w:rFonts w:ascii="Times New Roman" w:hAnsi="Times New Roman" w:cs="Times New Roman"/>
          <w:sz w:val="24"/>
          <w:szCs w:val="24"/>
        </w:rPr>
      </w:pPr>
      <w:r>
        <w:rPr>
          <w:rFonts w:ascii="Times New Roman" w:hAnsi="Times New Roman" w:cs="Times New Roman"/>
          <w:sz w:val="24"/>
          <w:szCs w:val="24"/>
        </w:rPr>
        <w:t xml:space="preserve">Tarafıma göndermiş olduğunuz yazıda 657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Devlet Memurları kanunun ilgili hükümlerince tarafıma </w:t>
      </w:r>
      <w:proofErr w:type="gramStart"/>
      <w:r>
        <w:rPr>
          <w:rFonts w:ascii="Times New Roman" w:hAnsi="Times New Roman" w:cs="Times New Roman"/>
          <w:sz w:val="24"/>
          <w:szCs w:val="24"/>
        </w:rPr>
        <w:t>ait  DİSİPLİN</w:t>
      </w:r>
      <w:proofErr w:type="gramEnd"/>
      <w:r>
        <w:rPr>
          <w:rFonts w:ascii="Times New Roman" w:hAnsi="Times New Roman" w:cs="Times New Roman"/>
          <w:sz w:val="24"/>
          <w:szCs w:val="24"/>
        </w:rPr>
        <w:t xml:space="preserve"> SORUŞTURMASI olduğu ifade edilmektedir.</w:t>
      </w:r>
    </w:p>
    <w:p w14:paraId="1C20C24F" w14:textId="77777777" w:rsidR="0051361C" w:rsidRDefault="0051361C" w:rsidP="0051361C">
      <w:pPr>
        <w:ind w:firstLine="708"/>
        <w:jc w:val="both"/>
        <w:rPr>
          <w:rFonts w:ascii="Times New Roman" w:hAnsi="Times New Roman" w:cs="Times New Roman"/>
          <w:sz w:val="24"/>
          <w:szCs w:val="24"/>
        </w:rPr>
      </w:pPr>
    </w:p>
    <w:p w14:paraId="245D0899" w14:textId="1DA515E9" w:rsidR="0051361C" w:rsidRDefault="0051361C" w:rsidP="0051361C">
      <w:pPr>
        <w:ind w:firstLine="708"/>
        <w:jc w:val="both"/>
        <w:rPr>
          <w:rFonts w:ascii="Times New Roman" w:hAnsi="Times New Roman" w:cs="Times New Roman"/>
          <w:b/>
          <w:sz w:val="24"/>
          <w:szCs w:val="24"/>
        </w:rPr>
      </w:pPr>
      <w:r>
        <w:rPr>
          <w:rFonts w:ascii="Times New Roman" w:hAnsi="Times New Roman" w:cs="Times New Roman"/>
          <w:sz w:val="24"/>
          <w:szCs w:val="24"/>
        </w:rPr>
        <w:t>Anayasa mahkemesinin savunmanın hazırlanması için gerekli zamana sahip olma hakkının, AY 36. Maddesinde belirtilen meşru vasıta ve yollardan yararlanmak kavramının kapsamında olduğu, bu hak gereğince kişiye gerekli hazırlıkları yapabilecekleri zamanın verilmesi gerekmektedir</w:t>
      </w:r>
      <w:r>
        <w:rPr>
          <w:rFonts w:ascii="Times New Roman" w:hAnsi="Times New Roman" w:cs="Times New Roman"/>
          <w:b/>
          <w:sz w:val="24"/>
          <w:szCs w:val="24"/>
        </w:rPr>
        <w:t>.(AYM; 2013/4030 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16.10.2014)</w:t>
      </w:r>
    </w:p>
    <w:p w14:paraId="201FA47C" w14:textId="77777777" w:rsidR="0051361C" w:rsidRDefault="0051361C" w:rsidP="0051361C">
      <w:pPr>
        <w:pStyle w:val="NormalWeb"/>
        <w:shd w:val="clear" w:color="auto" w:fill="FFFFFF"/>
        <w:spacing w:line="330" w:lineRule="atLeast"/>
        <w:jc w:val="both"/>
        <w:rPr>
          <w:b/>
          <w:color w:val="000000"/>
        </w:rPr>
      </w:pPr>
      <w:r>
        <w:rPr>
          <w:b/>
          <w:color w:val="000000"/>
        </w:rPr>
        <w:t xml:space="preserve">T.C. DANIŞTAY SEKİZİNCİ DAİRE E. 2016/13179 K. 2018/545 T. 05.02.2018 </w:t>
      </w:r>
      <w:proofErr w:type="spellStart"/>
      <w:r>
        <w:rPr>
          <w:b/>
          <w:color w:val="000000"/>
        </w:rPr>
        <w:t>nolu</w:t>
      </w:r>
      <w:proofErr w:type="spellEnd"/>
      <w:r>
        <w:rPr>
          <w:b/>
          <w:color w:val="000000"/>
        </w:rPr>
        <w:t xml:space="preserve"> kararı</w:t>
      </w:r>
    </w:p>
    <w:p w14:paraId="78F5E6C9" w14:textId="77777777" w:rsidR="0051361C" w:rsidRDefault="0051361C" w:rsidP="0051361C">
      <w:pPr>
        <w:pStyle w:val="NormalWeb"/>
        <w:shd w:val="clear" w:color="auto" w:fill="FFFFFF"/>
        <w:spacing w:line="330" w:lineRule="atLeast"/>
        <w:ind w:firstLine="708"/>
        <w:jc w:val="both"/>
        <w:rPr>
          <w:color w:val="000000"/>
        </w:rPr>
      </w:pPr>
      <w:r>
        <w:rPr>
          <w:color w:val="000000"/>
        </w:rPr>
        <w:t>Türkiye Cumhuriyeti Anayasası'nın 129. maddesinde; memurlar ve diğer kamu görevlileri ile kamu kurumu niteliğindeki meslek kuruluşları ve bunların üst kuruluşları mensuplarına savunma hakkı tanınmadıkça disiplin cezası verilemeyeceği belirtilmiştir.</w:t>
      </w:r>
    </w:p>
    <w:p w14:paraId="0CA3A0A3" w14:textId="77777777" w:rsidR="0051361C" w:rsidRDefault="0051361C" w:rsidP="0051361C">
      <w:pPr>
        <w:pStyle w:val="NormalWeb"/>
        <w:shd w:val="clear" w:color="auto" w:fill="FFFFFF"/>
        <w:spacing w:line="330" w:lineRule="atLeast"/>
        <w:ind w:firstLine="708"/>
        <w:jc w:val="both"/>
        <w:rPr>
          <w:color w:val="000000"/>
        </w:rPr>
      </w:pPr>
      <w:r>
        <w:rPr>
          <w:color w:val="000000"/>
        </w:rPr>
        <w:t>Anılan Anayasa hükmünün gerekçesinde, "</w:t>
      </w:r>
      <w:r>
        <w:rPr>
          <w:b/>
          <w:color w:val="000000"/>
        </w:rPr>
        <w:t xml:space="preserve">yapılacak disiplin kovuşturmalarında ve disiplin cezası uygulamasında ilgiliye </w:t>
      </w:r>
      <w:proofErr w:type="spellStart"/>
      <w:r>
        <w:rPr>
          <w:b/>
          <w:color w:val="000000"/>
        </w:rPr>
        <w:t>isnad</w:t>
      </w:r>
      <w:proofErr w:type="spellEnd"/>
      <w:r>
        <w:rPr>
          <w:b/>
          <w:color w:val="000000"/>
        </w:rPr>
        <w:t xml:space="preserve"> olunan hususun bildirilmesi, dinlenilmesi, savunmasını yapma </w:t>
      </w:r>
      <w:proofErr w:type="gramStart"/>
      <w:r>
        <w:rPr>
          <w:b/>
          <w:color w:val="000000"/>
        </w:rPr>
        <w:t>imkanı</w:t>
      </w:r>
      <w:proofErr w:type="gramEnd"/>
      <w:r>
        <w:rPr>
          <w:b/>
          <w:color w:val="000000"/>
        </w:rPr>
        <w:t xml:space="preserve"> tanınması bu madde ile güvence altına alınmaktadır"</w:t>
      </w:r>
      <w:r>
        <w:rPr>
          <w:color w:val="000000"/>
        </w:rPr>
        <w:t xml:space="preserve"> ifadelerine yer verilerek, disiplin cezaları ile ilgili olarak savunma hakkı Anayasal güvenceye bağlanmıştır.</w:t>
      </w:r>
    </w:p>
    <w:p w14:paraId="7C564B2D" w14:textId="77777777" w:rsidR="0051361C" w:rsidRDefault="0051361C" w:rsidP="0051361C">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Anayasa Mahkemesinin, Avrupa İnsan Haklarını ve Ana Hürriyetleri Korumaya Dair Sözleşme'nin, savunma hakkının önemini ve gereğini vurgulayan 6. maddesini de dikkate alarak savunma hakkının niteliğini vurguladığı, </w:t>
      </w:r>
      <w:proofErr w:type="gramStart"/>
      <w:r>
        <w:rPr>
          <w:rFonts w:ascii="Times New Roman" w:hAnsi="Times New Roman" w:cs="Times New Roman"/>
          <w:color w:val="000000"/>
          <w:sz w:val="24"/>
          <w:szCs w:val="24"/>
          <w:shd w:val="clear" w:color="auto" w:fill="FFFFFF"/>
        </w:rPr>
        <w:t>14/07/1998</w:t>
      </w:r>
      <w:proofErr w:type="gramEnd"/>
      <w:r>
        <w:rPr>
          <w:rFonts w:ascii="Times New Roman" w:hAnsi="Times New Roman" w:cs="Times New Roman"/>
          <w:color w:val="000000"/>
          <w:sz w:val="24"/>
          <w:szCs w:val="24"/>
          <w:shd w:val="clear" w:color="auto" w:fill="FFFFFF"/>
        </w:rPr>
        <w:t xml:space="preserve"> günlü, 1997/41, 1998/47 sayılı kararında, herkesin kendisine yönelik isnadın nedeninden ve niteliğinden en kısa zamanda, anladığı bir dille ve ayrıntılı olarak haberdar edilmek hakkına sahip olduğu; olayı, isnadın nedenini ve hukuki niteliğini bilmeyen kişinin kendisini yeterince savunamayacağının açık olduğu, bu hususun, savunma hakkının temelini oluşturduğu belirtilmiştir.</w:t>
      </w:r>
    </w:p>
    <w:p w14:paraId="158F05DF" w14:textId="77777777" w:rsidR="0051361C" w:rsidRDefault="0051361C" w:rsidP="0051361C">
      <w:pPr>
        <w:ind w:firstLine="708"/>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Anayasa hükmü, gerekçesi ve Anayasa Mahkemesi kararı karşısında, disiplin cezaları ile ilgili olarak savunma hakkı kullandırılmadan disiplin cezası verilmesinin hukuken olanaklı olmadığı; savunma hakkının hukuka uygun şekilde kullanılabilmesi için de, ilgili kamu görevlisinin hakkındaki iddiaları, bu iddiaların dayandığı delilleri, üzerine atılı fillerin hukuki nitelendirmesini bilmesi gerektiği sonucuna varılmakta olup, tüm bu hususlar kendisine bildirilmeyen kişinin kendisini yeterince savunamayacağı açıktır.</w:t>
      </w:r>
      <w:proofErr w:type="gramEnd"/>
    </w:p>
    <w:p w14:paraId="2AE0EDB1" w14:textId="77777777" w:rsidR="0051361C" w:rsidRDefault="0051361C" w:rsidP="0051361C">
      <w:pPr>
        <w:ind w:firstLine="708"/>
        <w:jc w:val="both"/>
        <w:rPr>
          <w:rFonts w:ascii="Times New Roman" w:hAnsi="Times New Roman" w:cs="Times New Roman"/>
          <w:color w:val="000000"/>
          <w:sz w:val="24"/>
          <w:szCs w:val="24"/>
          <w:shd w:val="clear" w:color="auto" w:fill="FFFFFF"/>
        </w:rPr>
      </w:pPr>
    </w:p>
    <w:p w14:paraId="120B6330" w14:textId="77777777" w:rsidR="0051361C" w:rsidRDefault="0051361C" w:rsidP="0051361C">
      <w:pPr>
        <w:pStyle w:val="NormalWeb"/>
        <w:shd w:val="clear" w:color="auto" w:fill="FFFFFF"/>
        <w:spacing w:line="330" w:lineRule="atLeast"/>
        <w:ind w:firstLine="708"/>
        <w:jc w:val="both"/>
        <w:rPr>
          <w:color w:val="000000"/>
          <w:shd w:val="clear" w:color="auto" w:fill="FFFFFF"/>
        </w:rPr>
      </w:pPr>
      <w:r>
        <w:rPr>
          <w:b/>
          <w:color w:val="000000"/>
        </w:rPr>
        <w:t xml:space="preserve">DANIŞTAYSEKİZİNCİ DAİREE. 2016/13179K. 2018/545T. </w:t>
      </w:r>
      <w:proofErr w:type="gramStart"/>
      <w:r>
        <w:rPr>
          <w:b/>
          <w:color w:val="000000"/>
        </w:rPr>
        <w:t>05.02.2018</w:t>
      </w:r>
      <w:r>
        <w:rPr>
          <w:b/>
          <w:color w:val="000000"/>
          <w:shd w:val="clear" w:color="auto" w:fill="FFFFFF"/>
        </w:rPr>
        <w:t xml:space="preserve"> kararında </w:t>
      </w:r>
      <w:r>
        <w:rPr>
          <w:color w:val="000000"/>
          <w:shd w:val="clear" w:color="auto" w:fill="FFFFFF"/>
        </w:rPr>
        <w:t xml:space="preserve">disiplin cezaları ile ilgili olarak savunma hakkı kullandırılmadan disiplin cezası verilmesinin hukuken olanaklı olmadığını; </w:t>
      </w:r>
      <w:r>
        <w:rPr>
          <w:b/>
          <w:color w:val="000000"/>
          <w:shd w:val="clear" w:color="auto" w:fill="FFFFFF"/>
        </w:rPr>
        <w:t>savunma hakkının hukuka uygun şekilde kullanılabilmesi için de, ilgili kamu görevlisinin hakkındaki iddiaları, bu iddiaların dayandığı delilleri, üzerine atılı fillerin hukuki nitelendirmesini bilmesi gerektiğini, tüm bu hususlar kendisine bildirilmeyen kişinin de kendisini yeterince savunamayacağını ifade etmiştir.</w:t>
      </w:r>
      <w:r>
        <w:rPr>
          <w:color w:val="000000"/>
          <w:shd w:val="clear" w:color="auto" w:fill="FFFFFF"/>
        </w:rPr>
        <w:t xml:space="preserve"> Dava konusu soruşturmada davacıya gönderilen savunma davetiyesinde, tanık beyanlarının yer almaması, Danıştay, mevzuat uyarınca olayın görgü tanıklarının ifadesinin alınmasından sonra davacıya savunmasını yapması için en az yedi günlük süre verilmesi ve </w:t>
      </w:r>
      <w:r>
        <w:rPr>
          <w:color w:val="000000"/>
          <w:shd w:val="clear" w:color="auto" w:fill="FFFFFF"/>
        </w:rPr>
        <w:lastRenderedPageBreak/>
        <w:t>gönderilen savunma davetiyesinde tanık ifadeleri ile ortaya çıkarılan suçun neden ibaret olduğunun bildirilmesi gerektiğini; belirtilen bu hususları içermeyen ifade tutanağına istinaden verilen disiplin cezalarının hukuka aykırı olacağına karar vermiştir.</w:t>
      </w:r>
      <w:proofErr w:type="gramEnd"/>
    </w:p>
    <w:p w14:paraId="59E8F1A4" w14:textId="77777777" w:rsidR="0051361C" w:rsidRDefault="0051361C" w:rsidP="0051361C">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bdr w:val="none" w:sz="0" w:space="0" w:color="auto" w:frame="1"/>
          <w:shd w:val="clear" w:color="auto" w:fill="FFFFFF"/>
        </w:rPr>
        <w:t>T.C. D A N I Ş T A Y İDARİ DAVA DAİRELERİ KURULU Esas No:2005/3292 KararNo:2008/1633 </w:t>
      </w:r>
      <w:r>
        <w:rPr>
          <w:rFonts w:ascii="Times New Roman" w:eastAsia="Times New Roman" w:hAnsi="Times New Roman" w:cs="Times New Roman"/>
          <w:b/>
          <w:color w:val="000000"/>
          <w:sz w:val="24"/>
          <w:szCs w:val="24"/>
          <w:bdr w:val="none" w:sz="0" w:space="0" w:color="auto" w:frame="1"/>
          <w:shd w:val="clear" w:color="auto" w:fill="FFFFFF"/>
        </w:rPr>
        <w:br/>
      </w:r>
      <w:r>
        <w:rPr>
          <w:rFonts w:ascii="Times New Roman" w:eastAsia="Times New Roman" w:hAnsi="Times New Roman" w:cs="Times New Roman"/>
          <w:b/>
          <w:color w:val="000000"/>
          <w:sz w:val="24"/>
          <w:szCs w:val="24"/>
          <w:bdr w:val="none" w:sz="0" w:space="0" w:color="auto" w:frame="1"/>
          <w:shd w:val="clear" w:color="auto" w:fill="FFFFFF"/>
        </w:rPr>
        <w:br/>
      </w:r>
    </w:p>
    <w:p w14:paraId="588B0C2D" w14:textId="77777777" w:rsidR="0051361C" w:rsidRDefault="0051361C" w:rsidP="0051361C">
      <w:pPr>
        <w:shd w:val="clear" w:color="auto" w:fill="FFFFFF"/>
        <w:ind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Dava konusu işlemin dayanağı olan </w:t>
      </w:r>
      <w:r>
        <w:rPr>
          <w:rFonts w:ascii="Times New Roman" w:eastAsia="Times New Roman" w:hAnsi="Times New Roman" w:cs="Times New Roman"/>
          <w:b/>
          <w:color w:val="000000"/>
          <w:sz w:val="24"/>
          <w:szCs w:val="24"/>
        </w:rPr>
        <w:t xml:space="preserve">her türlü bilgi ve belgeyi, bu bağlamda disiplin soruşturma raporlarını istemleri halinde inceleyebilme olanağının tanınmasının hukuk devletinin, adil yargılanma hakkının gereği olduğu, davacının istemesine karşın soruşturma raporu incelettirilmeden karar verilmesinde hukuka uyarlık </w:t>
      </w:r>
      <w:proofErr w:type="spellStart"/>
      <w:r>
        <w:rPr>
          <w:rFonts w:ascii="Times New Roman" w:eastAsia="Times New Roman" w:hAnsi="Times New Roman" w:cs="Times New Roman"/>
          <w:b/>
          <w:color w:val="000000"/>
          <w:sz w:val="24"/>
          <w:szCs w:val="24"/>
        </w:rPr>
        <w:t>bulunmadığı</w:t>
      </w:r>
      <w:r>
        <w:rPr>
          <w:rFonts w:ascii="Times New Roman" w:eastAsia="Times New Roman" w:hAnsi="Times New Roman" w:cs="Times New Roman"/>
          <w:color w:val="000000"/>
          <w:sz w:val="24"/>
          <w:szCs w:val="24"/>
        </w:rPr>
        <w:t>hk</w:t>
      </w:r>
      <w:proofErr w:type="spellEnd"/>
      <w:r>
        <w:rPr>
          <w:rFonts w:ascii="Times New Roman" w:eastAsia="Times New Roman" w:hAnsi="Times New Roman" w:cs="Times New Roman"/>
          <w:color w:val="000000"/>
          <w:sz w:val="24"/>
          <w:szCs w:val="24"/>
        </w:rPr>
        <w:t>.</w:t>
      </w:r>
    </w:p>
    <w:p w14:paraId="695EEDE4" w14:textId="77777777" w:rsidR="0051361C" w:rsidRDefault="0051361C" w:rsidP="0051361C">
      <w:pPr>
        <w:shd w:val="clear" w:color="auto" w:fill="FFFFFF"/>
        <w:ind w:firstLine="708"/>
        <w:jc w:val="both"/>
        <w:textAlignment w:val="baseline"/>
        <w:rPr>
          <w:rFonts w:ascii="Times New Roman" w:eastAsia="Times New Roman" w:hAnsi="Times New Roman" w:cs="Times New Roman"/>
          <w:color w:val="000000"/>
          <w:sz w:val="24"/>
          <w:szCs w:val="24"/>
        </w:rPr>
      </w:pPr>
    </w:p>
    <w:p w14:paraId="79D931F8" w14:textId="77777777" w:rsidR="0051361C" w:rsidRDefault="0051361C" w:rsidP="0051361C">
      <w:pPr>
        <w:shd w:val="clear" w:color="auto" w:fill="FFFFFF"/>
        <w:ind w:firstLine="708"/>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AİHM kararlarında belirtildiği üzere </w:t>
      </w:r>
      <w:r>
        <w:rPr>
          <w:rFonts w:ascii="Times New Roman" w:eastAsia="Times New Roman" w:hAnsi="Times New Roman" w:cs="Times New Roman"/>
          <w:b/>
          <w:color w:val="000000"/>
          <w:sz w:val="24"/>
          <w:szCs w:val="24"/>
        </w:rPr>
        <w:t>adil yargılamanın en önemli gereklerinden biri olarak, sahip olunan hak ve yükümlülükler bakımından davanın tarafları arasında tam bir eşitlik gözetilmeli (silahların eşitliği), buna bağlı olarak da toplanan deliller hakkında taraflara görüş bildirme olanağı tanınmalıdır.</w:t>
      </w:r>
    </w:p>
    <w:p w14:paraId="1C5EF7C0" w14:textId="77777777" w:rsidR="0051361C" w:rsidRDefault="0051361C" w:rsidP="0051361C">
      <w:pPr>
        <w:shd w:val="clear" w:color="auto" w:fill="FFFFFF"/>
        <w:ind w:firstLine="708"/>
        <w:jc w:val="both"/>
        <w:textAlignment w:val="baseline"/>
        <w:rPr>
          <w:rFonts w:ascii="Times New Roman" w:eastAsia="Times New Roman" w:hAnsi="Times New Roman" w:cs="Times New Roman"/>
          <w:color w:val="000000"/>
          <w:sz w:val="24"/>
          <w:szCs w:val="24"/>
        </w:rPr>
      </w:pPr>
    </w:p>
    <w:p w14:paraId="02532F96" w14:textId="77777777" w:rsidR="0051361C" w:rsidRDefault="0051361C" w:rsidP="0051361C">
      <w:pPr>
        <w:shd w:val="clear" w:color="auto" w:fill="FFFFFF"/>
        <w:ind w:firstLine="708"/>
        <w:jc w:val="both"/>
        <w:textAlignment w:val="baseline"/>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 xml:space="preserve">Diğer yandan, kamu kurum ve kuruluşları ile kamu kurumu niteliğindeki meslek kuruluşlarının faaliyetlerinde uygulanacak olan </w:t>
      </w:r>
      <w:r>
        <w:rPr>
          <w:rFonts w:ascii="Times New Roman" w:eastAsia="Times New Roman" w:hAnsi="Times New Roman" w:cs="Times New Roman"/>
          <w:b/>
          <w:color w:val="000000"/>
          <w:sz w:val="24"/>
          <w:szCs w:val="24"/>
        </w:rPr>
        <w:t>4982 sayılı Bilgi Edinme Kanunu, demokratik ve şeffaf yönetimin gereği olan eşitlik, tarafsızlık ve açıklık ilkelerine uygun olarak kişilerin bilgi edinme hakkını kullanmalarına ilişkin esas ve usulleri düzenlemek amacıyla çıkarılmış olup, Yasa'nın 4. maddesinde, herkesin bilgi edinme hakkına sahip olduğu</w:t>
      </w:r>
      <w:r>
        <w:rPr>
          <w:rFonts w:ascii="Times New Roman" w:eastAsia="Times New Roman" w:hAnsi="Times New Roman" w:cs="Times New Roman"/>
          <w:color w:val="000000"/>
          <w:sz w:val="24"/>
          <w:szCs w:val="24"/>
        </w:rPr>
        <w:t xml:space="preserve">, 5. maddesinde ise, </w:t>
      </w:r>
      <w:r>
        <w:rPr>
          <w:rFonts w:ascii="Times New Roman" w:eastAsia="Times New Roman" w:hAnsi="Times New Roman" w:cs="Times New Roman"/>
          <w:b/>
          <w:color w:val="000000"/>
          <w:sz w:val="24"/>
          <w:szCs w:val="24"/>
        </w:rPr>
        <w:t>kurum ve kuruluşların</w:t>
      </w:r>
      <w:r>
        <w:rPr>
          <w:rFonts w:ascii="Times New Roman" w:eastAsia="Times New Roman" w:hAnsi="Times New Roman" w:cs="Times New Roman"/>
          <w:color w:val="000000"/>
          <w:sz w:val="24"/>
          <w:szCs w:val="24"/>
        </w:rPr>
        <w:t xml:space="preserve"> bu Kanunda yer alan istisnalar dışındaki </w:t>
      </w:r>
      <w:r>
        <w:rPr>
          <w:rFonts w:ascii="Times New Roman" w:eastAsia="Times New Roman" w:hAnsi="Times New Roman" w:cs="Times New Roman"/>
          <w:b/>
          <w:color w:val="000000"/>
          <w:sz w:val="24"/>
          <w:szCs w:val="24"/>
        </w:rPr>
        <w:t>her türlü bilgi veya belgeyi başvuranların yararlanmasına sunmak ve bilgi edinme başvurularını etkin, süratli ve doğru sonuçlandırmak üzere gerekli idari ve teknik tedbirleri almakla yükümlü oldukları hükümlerine yer verilmiştir.</w:t>
      </w:r>
      <w:proofErr w:type="gramEnd"/>
    </w:p>
    <w:p w14:paraId="4C552EC3" w14:textId="77777777" w:rsidR="0051361C" w:rsidRDefault="0051361C" w:rsidP="0051361C">
      <w:pPr>
        <w:shd w:val="clear" w:color="auto" w:fill="FFFFFF"/>
        <w:jc w:val="both"/>
        <w:textAlignment w:val="baseline"/>
        <w:rPr>
          <w:rFonts w:ascii="Times New Roman" w:eastAsia="Times New Roman" w:hAnsi="Times New Roman" w:cs="Times New Roman"/>
          <w:color w:val="000000"/>
          <w:sz w:val="24"/>
          <w:szCs w:val="24"/>
        </w:rPr>
      </w:pPr>
    </w:p>
    <w:p w14:paraId="7AEFBB31" w14:textId="77777777" w:rsidR="0051361C" w:rsidRDefault="0051361C" w:rsidP="0051361C">
      <w:pPr>
        <w:shd w:val="clear" w:color="auto" w:fill="FFFFFF"/>
        <w:ind w:firstLine="70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4982 sayılı Yasa'nın anılan hükümleri birlikte değerlendirildiğinde, </w:t>
      </w:r>
      <w:r>
        <w:rPr>
          <w:rFonts w:ascii="Times New Roman" w:eastAsia="Times New Roman" w:hAnsi="Times New Roman" w:cs="Times New Roman"/>
          <w:b/>
          <w:color w:val="000000"/>
          <w:sz w:val="24"/>
          <w:szCs w:val="24"/>
        </w:rPr>
        <w:t>idari aşamada dahi kişilerin bilgi ve belgelere erişmelerinin bir hak olarak kabul edilmek suretiyle yasal güvenceye kavuşturulduğu,</w:t>
      </w:r>
      <w:r>
        <w:rPr>
          <w:rFonts w:ascii="Times New Roman" w:eastAsia="Times New Roman" w:hAnsi="Times New Roman" w:cs="Times New Roman"/>
          <w:color w:val="000000"/>
          <w:sz w:val="24"/>
          <w:szCs w:val="24"/>
        </w:rPr>
        <w:t xml:space="preserve"> bu hakkın ancak Yasada belirtilen hallerde sınırlanabileceği anlaşılmakta; bilgi edinme hakkı demokratik ve şeffaf bir yönetimin gereği olarak kabul edilmektedir.</w:t>
      </w:r>
    </w:p>
    <w:p w14:paraId="59ED3B2A" w14:textId="77777777" w:rsidR="0051361C" w:rsidRDefault="0051361C" w:rsidP="0051361C">
      <w:pPr>
        <w:shd w:val="clear" w:color="auto" w:fill="FFFFFF"/>
        <w:ind w:firstLine="708"/>
        <w:jc w:val="both"/>
        <w:textAlignment w:val="baseline"/>
        <w:rPr>
          <w:rFonts w:ascii="Times New Roman" w:eastAsia="Times New Roman" w:hAnsi="Times New Roman" w:cs="Times New Roman"/>
          <w:color w:val="000000"/>
          <w:sz w:val="24"/>
          <w:szCs w:val="24"/>
        </w:rPr>
      </w:pPr>
    </w:p>
    <w:p w14:paraId="7D03978A" w14:textId="77777777" w:rsidR="0051361C" w:rsidRDefault="0051361C" w:rsidP="0051361C">
      <w:pPr>
        <w:shd w:val="clear" w:color="auto" w:fill="FFFFFF"/>
        <w:ind w:firstLine="708"/>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Davacılar ancak </w:t>
      </w:r>
      <w:r>
        <w:rPr>
          <w:rFonts w:ascii="Times New Roman" w:eastAsia="Times New Roman" w:hAnsi="Times New Roman" w:cs="Times New Roman"/>
          <w:b/>
          <w:color w:val="000000"/>
          <w:sz w:val="24"/>
          <w:szCs w:val="24"/>
        </w:rPr>
        <w:t xml:space="preserve">soruşturma raporunda yer verilen maddi olayı, tanık ifadelerini, inceleme yapanın görüş ve kanaatini, işlemin hukuki dayanağını, soruşturmacının önerilerini açık ve etraflı bir biçimde öğrenme suretiyle adil yargılanma hakkını kullanabilecektir. İncelenemeyen bir soruşturma raporuna karşı iddia ve savunmada bulunmak zor, hatta </w:t>
      </w:r>
      <w:proofErr w:type="gramStart"/>
      <w:r>
        <w:rPr>
          <w:rFonts w:ascii="Times New Roman" w:eastAsia="Times New Roman" w:hAnsi="Times New Roman" w:cs="Times New Roman"/>
          <w:b/>
          <w:color w:val="000000"/>
          <w:sz w:val="24"/>
          <w:szCs w:val="24"/>
        </w:rPr>
        <w:t>imkansızdır</w:t>
      </w:r>
      <w:proofErr w:type="gramEnd"/>
      <w:r>
        <w:rPr>
          <w:rFonts w:ascii="Times New Roman" w:eastAsia="Times New Roman" w:hAnsi="Times New Roman" w:cs="Times New Roman"/>
          <w:b/>
          <w:color w:val="000000"/>
          <w:sz w:val="24"/>
          <w:szCs w:val="24"/>
        </w:rPr>
        <w:t>.</w:t>
      </w:r>
    </w:p>
    <w:p w14:paraId="0DD98ECF" w14:textId="77777777" w:rsidR="0051361C" w:rsidRDefault="0051361C" w:rsidP="0051361C">
      <w:pPr>
        <w:shd w:val="clear" w:color="auto" w:fill="FFFFFF"/>
        <w:ind w:firstLine="708"/>
        <w:jc w:val="both"/>
        <w:textAlignment w:val="baseline"/>
        <w:rPr>
          <w:rFonts w:ascii="Times New Roman" w:eastAsia="Times New Roman" w:hAnsi="Times New Roman" w:cs="Times New Roman"/>
          <w:b/>
          <w:color w:val="000000"/>
          <w:sz w:val="24"/>
          <w:szCs w:val="24"/>
        </w:rPr>
      </w:pPr>
    </w:p>
    <w:p w14:paraId="6E485079" w14:textId="77777777" w:rsidR="0051361C" w:rsidRDefault="0051361C" w:rsidP="0051361C">
      <w:pPr>
        <w:shd w:val="clear" w:color="auto" w:fill="FFFFFF"/>
        <w:ind w:firstLine="708"/>
        <w:jc w:val="both"/>
        <w:textAlignment w:val="baseline"/>
        <w:rPr>
          <w:rFonts w:ascii="Calibri" w:eastAsia="Times New Roman" w:hAnsi="Calibri" w:cs="Calibri"/>
          <w:b/>
          <w:color w:val="000000"/>
          <w:sz w:val="24"/>
          <w:szCs w:val="24"/>
        </w:rPr>
      </w:pPr>
      <w:r>
        <w:rPr>
          <w:rFonts w:ascii="Times New Roman" w:eastAsia="Times New Roman" w:hAnsi="Times New Roman" w:cs="Times New Roman"/>
          <w:color w:val="000000"/>
          <w:sz w:val="24"/>
          <w:szCs w:val="24"/>
        </w:rPr>
        <w:t xml:space="preserve">Dava ve temyiz dosyasının incelenmesinden, </w:t>
      </w:r>
      <w:r>
        <w:rPr>
          <w:rFonts w:ascii="Times New Roman" w:eastAsia="Times New Roman" w:hAnsi="Times New Roman" w:cs="Times New Roman"/>
          <w:b/>
          <w:color w:val="000000"/>
          <w:sz w:val="24"/>
          <w:szCs w:val="24"/>
        </w:rPr>
        <w:t xml:space="preserve">davacının disiplin </w:t>
      </w:r>
      <w:proofErr w:type="gramStart"/>
      <w:r>
        <w:rPr>
          <w:rFonts w:ascii="Times New Roman" w:eastAsia="Times New Roman" w:hAnsi="Times New Roman" w:cs="Times New Roman"/>
          <w:b/>
          <w:color w:val="000000"/>
          <w:sz w:val="24"/>
          <w:szCs w:val="24"/>
        </w:rPr>
        <w:t>cezasına  ilişkin</w:t>
      </w:r>
      <w:proofErr w:type="gramEnd"/>
      <w:r>
        <w:rPr>
          <w:rFonts w:ascii="Times New Roman" w:eastAsia="Times New Roman" w:hAnsi="Times New Roman" w:cs="Times New Roman"/>
          <w:b/>
          <w:color w:val="000000"/>
          <w:sz w:val="24"/>
          <w:szCs w:val="24"/>
        </w:rPr>
        <w:t xml:space="preserve"> işlemin dayanağı soruşturma raporunun davacının talep etmesine karşın Dairesince</w:t>
      </w:r>
      <w:r>
        <w:rPr>
          <w:rFonts w:ascii="Calibri" w:eastAsia="Times New Roman" w:hAnsi="Calibri" w:cs="Calibri"/>
          <w:b/>
          <w:color w:val="000000"/>
          <w:sz w:val="24"/>
          <w:szCs w:val="24"/>
        </w:rPr>
        <w:t xml:space="preserve"> incelettirilmediği anlaşıldığından Daire kararında hukuka uyarlık bulunmamaktadır.</w:t>
      </w:r>
    </w:p>
    <w:p w14:paraId="6744116A" w14:textId="77777777" w:rsidR="0051361C" w:rsidRDefault="0051361C" w:rsidP="0051361C">
      <w:pPr>
        <w:shd w:val="clear" w:color="auto" w:fill="FFFFFF"/>
        <w:textAlignment w:val="baseline"/>
        <w:rPr>
          <w:rFonts w:ascii="Calibri" w:eastAsia="Times New Roman" w:hAnsi="Calibri" w:cs="Calibri"/>
          <w:color w:val="000000"/>
          <w:sz w:val="24"/>
          <w:szCs w:val="24"/>
        </w:rPr>
      </w:pPr>
    </w:p>
    <w:p w14:paraId="395CF93B" w14:textId="77777777" w:rsidR="0051361C" w:rsidRDefault="0051361C" w:rsidP="0051361C">
      <w:pPr>
        <w:shd w:val="clear" w:color="auto" w:fill="FFFFFF"/>
        <w:ind w:firstLine="708"/>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Danıştay 1. Dairesi Başkanlığının 27.6.2008 tarihli ve E:2008/721, K:2008/800 sayılı Kararı:</w:t>
      </w:r>
    </w:p>
    <w:p w14:paraId="3ED23196" w14:textId="77777777" w:rsidR="0051361C" w:rsidRDefault="0051361C" w:rsidP="0051361C">
      <w:pPr>
        <w:shd w:val="clear" w:color="auto" w:fill="FFFFFF"/>
        <w:ind w:firstLine="708"/>
        <w:jc w:val="both"/>
        <w:textAlignment w:val="baseline"/>
        <w:rPr>
          <w:rFonts w:ascii="Calibri" w:eastAsia="Times New Roman" w:hAnsi="Calibri" w:cs="Calibri"/>
          <w:b/>
          <w:color w:val="000000"/>
          <w:sz w:val="24"/>
          <w:szCs w:val="24"/>
        </w:rPr>
      </w:pPr>
      <w:proofErr w:type="gramStart"/>
      <w:r>
        <w:rPr>
          <w:rFonts w:ascii="Times New Roman" w:eastAsia="Times New Roman" w:hAnsi="Times New Roman" w:cs="Times New Roman"/>
          <w:b/>
          <w:color w:val="000000"/>
          <w:sz w:val="24"/>
          <w:szCs w:val="24"/>
        </w:rPr>
        <w:t xml:space="preserve">Savunması istenen kamu görevlisine ve vekiline yapılacak savunmaya esas olmak üzere soruşturma raporu ve eklerinden istenen belgelerin bir örneğinin verilmemesinin savunma hakkının hukuka aykırı olarak kısıtlanması sonucunu doğurduğu, bu nedenle kararın bozulmasına  Anayasanın 139 uncu maddesinin 2 </w:t>
      </w:r>
      <w:proofErr w:type="spellStart"/>
      <w:r>
        <w:rPr>
          <w:rFonts w:ascii="Times New Roman" w:eastAsia="Times New Roman" w:hAnsi="Times New Roman" w:cs="Times New Roman"/>
          <w:b/>
          <w:color w:val="000000"/>
          <w:sz w:val="24"/>
          <w:szCs w:val="24"/>
        </w:rPr>
        <w:t>nci</w:t>
      </w:r>
      <w:proofErr w:type="spellEnd"/>
      <w:r>
        <w:rPr>
          <w:rFonts w:ascii="Times New Roman" w:eastAsia="Times New Roman" w:hAnsi="Times New Roman" w:cs="Times New Roman"/>
          <w:b/>
          <w:color w:val="000000"/>
          <w:sz w:val="24"/>
          <w:szCs w:val="24"/>
        </w:rPr>
        <w:t xml:space="preserve"> fıkrasında, memurlar ve diğer kamu görevlileri ile kamu kurumu niteliğindeki meslek kuruluşları ve bunların </w:t>
      </w:r>
      <w:r>
        <w:rPr>
          <w:rFonts w:ascii="Times New Roman" w:eastAsia="Times New Roman" w:hAnsi="Times New Roman" w:cs="Times New Roman"/>
          <w:b/>
          <w:color w:val="000000"/>
          <w:sz w:val="24"/>
          <w:szCs w:val="24"/>
        </w:rPr>
        <w:lastRenderedPageBreak/>
        <w:t>üst kuruluşları mensuplarına savunma hakkı tanınmadıkça disiplin cezası verilemeyeceği hükmüne yer verilmek suretiyle savunma</w:t>
      </w:r>
      <w:r>
        <w:rPr>
          <w:rFonts w:ascii="Calibri" w:eastAsia="Times New Roman" w:hAnsi="Calibri" w:cs="Calibri"/>
          <w:b/>
          <w:color w:val="000000"/>
          <w:sz w:val="24"/>
          <w:szCs w:val="24"/>
        </w:rPr>
        <w:t xml:space="preserve"> hakkı güvenceye bağlanmıştır.</w:t>
      </w:r>
      <w:proofErr w:type="gramEnd"/>
    </w:p>
    <w:p w14:paraId="20C52993" w14:textId="77777777" w:rsidR="0051361C" w:rsidRDefault="0051361C" w:rsidP="0051361C">
      <w:pPr>
        <w:shd w:val="clear" w:color="auto" w:fill="FFFFFF"/>
        <w:ind w:firstLine="708"/>
        <w:jc w:val="both"/>
        <w:textAlignment w:val="baseline"/>
        <w:rPr>
          <w:rFonts w:ascii="Calibri" w:eastAsia="Times New Roman" w:hAnsi="Calibri" w:cs="Calibri"/>
          <w:b/>
          <w:color w:val="000000"/>
          <w:sz w:val="24"/>
          <w:szCs w:val="24"/>
        </w:rPr>
      </w:pPr>
    </w:p>
    <w:p w14:paraId="46D8BD53" w14:textId="77777777" w:rsidR="0051361C" w:rsidRDefault="0051361C" w:rsidP="0051361C">
      <w:pPr>
        <w:ind w:firstLine="708"/>
        <w:jc w:val="both"/>
        <w:rPr>
          <w:rFonts w:ascii="Times New Roman" w:hAnsi="Times New Roman" w:cs="Times New Roman"/>
          <w:sz w:val="24"/>
          <w:szCs w:val="24"/>
        </w:rPr>
      </w:pPr>
      <w:r>
        <w:rPr>
          <w:rFonts w:ascii="Times New Roman" w:hAnsi="Times New Roman" w:cs="Times New Roman"/>
          <w:b/>
          <w:sz w:val="24"/>
          <w:szCs w:val="24"/>
        </w:rPr>
        <w:t>Yargıtay 1.Daire 2008/721 E</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2008/800 </w:t>
      </w:r>
      <w:proofErr w:type="spellStart"/>
      <w:r>
        <w:rPr>
          <w:rFonts w:ascii="Times New Roman" w:hAnsi="Times New Roman" w:cs="Times New Roman"/>
          <w:b/>
          <w:sz w:val="24"/>
          <w:szCs w:val="24"/>
        </w:rPr>
        <w:t>K</w:t>
      </w:r>
      <w:r>
        <w:rPr>
          <w:rFonts w:ascii="Times New Roman" w:hAnsi="Times New Roman" w:cs="Times New Roman"/>
          <w:sz w:val="24"/>
          <w:szCs w:val="24"/>
        </w:rPr>
        <w:t>.</w:t>
      </w:r>
      <w:r>
        <w:rPr>
          <w:rFonts w:ascii="Times New Roman" w:hAnsi="Times New Roman" w:cs="Times New Roman"/>
          <w:b/>
          <w:sz w:val="24"/>
          <w:szCs w:val="24"/>
        </w:rPr>
        <w:t>İtiraz</w:t>
      </w:r>
      <w:proofErr w:type="spellEnd"/>
      <w:r>
        <w:rPr>
          <w:rFonts w:ascii="Times New Roman" w:hAnsi="Times New Roman" w:cs="Times New Roman"/>
          <w:b/>
          <w:sz w:val="24"/>
          <w:szCs w:val="24"/>
        </w:rPr>
        <w:t xml:space="preserve"> Edilen Karar</w:t>
      </w:r>
      <w:r>
        <w:rPr>
          <w:rFonts w:ascii="Times New Roman" w:hAnsi="Times New Roman" w:cs="Times New Roman"/>
          <w:sz w:val="24"/>
          <w:szCs w:val="24"/>
        </w:rPr>
        <w:t xml:space="preserve"> : Hakkında soruşturma izni istenenlerin tümü için soruşturma izni verilmemesine ilişkin Maliye Bakanının 28.4.2008 günlü, 2170 sayılı karar </w:t>
      </w:r>
      <w:r>
        <w:rPr>
          <w:rFonts w:ascii="Times New Roman" w:hAnsi="Times New Roman" w:cs="Times New Roman"/>
          <w:b/>
          <w:sz w:val="24"/>
          <w:szCs w:val="24"/>
        </w:rPr>
        <w:t>Soruşturulacak Eylem:</w:t>
      </w:r>
      <w:r>
        <w:rPr>
          <w:rFonts w:ascii="Times New Roman" w:hAnsi="Times New Roman" w:cs="Times New Roman"/>
          <w:sz w:val="24"/>
          <w:szCs w:val="24"/>
        </w:rPr>
        <w:t xml:space="preserve"> Maliye Müfettişi olarak görev yapan … hakkında yapılan disiplin soruşturması üzerine düzenlenen soruşturma raporuyla </w:t>
      </w:r>
      <w:r>
        <w:rPr>
          <w:rFonts w:ascii="Times New Roman" w:hAnsi="Times New Roman" w:cs="Times New Roman"/>
          <w:b/>
          <w:sz w:val="24"/>
          <w:szCs w:val="24"/>
        </w:rPr>
        <w:t xml:space="preserve">disiplin  cezasıyla cezalandırılması istemiyle sevk edildiği Disiplin Kurulunca istenen savunmasına esas olmak üzere talep edilen disiplin soruşturması ve eklerinden bir örneğini, </w:t>
      </w:r>
      <w:proofErr w:type="spellStart"/>
      <w:r>
        <w:rPr>
          <w:rFonts w:ascii="Times New Roman" w:hAnsi="Times New Roman" w:cs="Times New Roman"/>
          <w:b/>
          <w:sz w:val="24"/>
          <w:szCs w:val="24"/>
        </w:rPr>
        <w:t>sayunma</w:t>
      </w:r>
      <w:proofErr w:type="spellEnd"/>
      <w:r>
        <w:rPr>
          <w:rFonts w:ascii="Times New Roman" w:hAnsi="Times New Roman" w:cs="Times New Roman"/>
          <w:b/>
          <w:sz w:val="24"/>
          <w:szCs w:val="24"/>
        </w:rPr>
        <w:t xml:space="preserve"> hakkını kısıtlayacak şekilde soruşturulan memura vermemek suretiyle görevlerini kötüye </w:t>
      </w:r>
      <w:proofErr w:type="spellStart"/>
      <w:proofErr w:type="gramStart"/>
      <w:r>
        <w:rPr>
          <w:rFonts w:ascii="Times New Roman" w:hAnsi="Times New Roman" w:cs="Times New Roman"/>
          <w:b/>
          <w:sz w:val="24"/>
          <w:szCs w:val="24"/>
        </w:rPr>
        <w:t>kullanmak</w:t>
      </w:r>
      <w:r>
        <w:rPr>
          <w:rFonts w:ascii="Times New Roman" w:hAnsi="Times New Roman" w:cs="Times New Roman"/>
          <w:sz w:val="24"/>
          <w:szCs w:val="24"/>
        </w:rPr>
        <w:t>,</w:t>
      </w:r>
      <w:r>
        <w:rPr>
          <w:rFonts w:ascii="Times New Roman" w:hAnsi="Times New Roman" w:cs="Times New Roman"/>
          <w:b/>
          <w:sz w:val="24"/>
          <w:szCs w:val="24"/>
        </w:rPr>
        <w:t>Karar</w:t>
      </w:r>
      <w:proofErr w:type="gramEnd"/>
      <w:r>
        <w:rPr>
          <w:rFonts w:ascii="Times New Roman" w:hAnsi="Times New Roman" w:cs="Times New Roman"/>
          <w:b/>
          <w:sz w:val="24"/>
          <w:szCs w:val="24"/>
        </w:rPr>
        <w:t>:kamu</w:t>
      </w:r>
      <w:proofErr w:type="spellEnd"/>
      <w:r>
        <w:rPr>
          <w:rFonts w:ascii="Times New Roman" w:hAnsi="Times New Roman" w:cs="Times New Roman"/>
          <w:b/>
          <w:sz w:val="24"/>
          <w:szCs w:val="24"/>
        </w:rPr>
        <w:t xml:space="preserve"> görevlisine ve vekiline yapılacak savunmaya esas olmak üzere soruşturma raporu ve eklerinden istenen belgelerin bir örneğinin verilmemesinin savunma hakkının hukuka aykırı olarak kısıtlanması sonucunu doğurduğu</w:t>
      </w:r>
      <w:r>
        <w:rPr>
          <w:rFonts w:ascii="Times New Roman" w:hAnsi="Times New Roman" w:cs="Times New Roman"/>
          <w:sz w:val="24"/>
          <w:szCs w:val="24"/>
        </w:rPr>
        <w:t>, bu nedenle ilgililere isnat edilen eylemin, haklarında soruşturma yapılmasını gerektirecek nitelikte bulunduğu anlaşıldığından, itirazın kabulüyle, Maliye Bakanının 28.4.2008 günlü, 2170 sayılı soruşturma izni verilmemesine ilişkin kararının kaldırılmasına, dosyanın Yargıtay Cumhuriyet Başsavcılığına, kararın birer Örneğinin Maliye Bakanlığı ile itiraz eden vekiline gönderilmesine 27.6.2008 gününde oybirliğiyle karar verilmiştir.</w:t>
      </w:r>
    </w:p>
    <w:p w14:paraId="03E3F997" w14:textId="77777777" w:rsidR="0051361C" w:rsidRDefault="0051361C" w:rsidP="0051361C">
      <w:pPr>
        <w:pStyle w:val="NormalWeb"/>
        <w:shd w:val="clear" w:color="auto" w:fill="FFFFFF"/>
        <w:spacing w:line="330" w:lineRule="atLeast"/>
        <w:ind w:firstLine="708"/>
        <w:jc w:val="both"/>
      </w:pPr>
      <w:r>
        <w:rPr>
          <w:color w:val="000000"/>
          <w:shd w:val="clear" w:color="auto" w:fill="FFFFFF"/>
        </w:rPr>
        <w:t xml:space="preserve">Anayasa ve kanunlar ile güvence altına alınan savunma hakkımı etkin bir şekilde kullanabilmem açısından </w:t>
      </w:r>
      <w:r w:rsidRPr="001B3728">
        <w:rPr>
          <w:b/>
          <w:sz w:val="22"/>
          <w:szCs w:val="22"/>
        </w:rPr>
        <w:t xml:space="preserve">TÜRKİYE BÜYÜK MİLLET MECLİSİ KAMU DENETÇİLİĞİ KURUMU (OMBUDSMANLIK) </w:t>
      </w:r>
      <w:proofErr w:type="gramStart"/>
      <w:r w:rsidRPr="001B3728">
        <w:rPr>
          <w:b/>
          <w:sz w:val="22"/>
          <w:szCs w:val="22"/>
        </w:rPr>
        <w:t>SAYI : 2021</w:t>
      </w:r>
      <w:proofErr w:type="gramEnd"/>
      <w:r w:rsidRPr="001B3728">
        <w:rPr>
          <w:b/>
          <w:sz w:val="22"/>
          <w:szCs w:val="22"/>
        </w:rPr>
        <w:t>/7786-S.21.12510 BAŞVURU NO : 2020/101261 KARAR TARİHİ : 20/05/2021</w:t>
      </w:r>
      <w:r>
        <w:rPr>
          <w:b/>
          <w:sz w:val="22"/>
          <w:szCs w:val="22"/>
        </w:rPr>
        <w:t xml:space="preserve"> kararı, </w:t>
      </w:r>
      <w:r>
        <w:rPr>
          <w:b/>
          <w:color w:val="000000"/>
          <w:u w:val="single"/>
          <w:shd w:val="clear" w:color="auto" w:fill="FFFFFF"/>
        </w:rPr>
        <w:t xml:space="preserve">Personel genel müdürlüğünün 97202150-903.08.02.E.23712681 sayılı genelgesine,4982 sayılı Bilgi Edinme Hakkı kanununa ve yukarıda saydığım yüksek mahkeme kararlarına istinaden hakkımda </w:t>
      </w:r>
      <w:r>
        <w:rPr>
          <w:b/>
          <w:u w:val="single"/>
        </w:rPr>
        <w:t xml:space="preserve">657 </w:t>
      </w:r>
      <w:proofErr w:type="spellStart"/>
      <w:r>
        <w:rPr>
          <w:b/>
          <w:u w:val="single"/>
        </w:rPr>
        <w:t>nolu</w:t>
      </w:r>
      <w:proofErr w:type="spellEnd"/>
      <w:r>
        <w:rPr>
          <w:b/>
          <w:u w:val="single"/>
        </w:rPr>
        <w:t xml:space="preserve"> Devlet Memurları kanunun ilgili hükümlerince varsa hazırlanılmış tarafıma ait  DİSİPLİN SORUŞTURMASI dosyasının bir örneğinin  tarafımı verilmesini,</w:t>
      </w:r>
      <w:r>
        <w:t xml:space="preserve"> bundan sonra tarafıma yasal (7) günden az olmamak üzere  savunma süremin verilmesi için gereğini arz talep ederim. Saygılarımla.</w:t>
      </w:r>
    </w:p>
    <w:p w14:paraId="4917663A" w14:textId="77777777" w:rsidR="0051361C" w:rsidRPr="00943DEE" w:rsidRDefault="0051361C" w:rsidP="0051361C">
      <w:pPr>
        <w:pStyle w:val="ListeParagraf"/>
        <w:spacing w:after="60"/>
        <w:ind w:left="360"/>
        <w:jc w:val="both"/>
        <w:rPr>
          <w:rFonts w:ascii="Times New Roman" w:hAnsi="Times New Roman" w:cs="Times New Roman"/>
          <w:bCs/>
          <w:i/>
          <w:sz w:val="28"/>
          <w:szCs w:val="28"/>
        </w:rPr>
      </w:pPr>
    </w:p>
    <w:p w14:paraId="598EB0A4" w14:textId="77777777" w:rsidR="002F0FB4" w:rsidRPr="002F0FB4" w:rsidRDefault="002F0FB4" w:rsidP="00873A6C">
      <w:pPr>
        <w:spacing w:after="200" w:line="276" w:lineRule="auto"/>
        <w:ind w:firstLine="708"/>
        <w:jc w:val="both"/>
        <w:rPr>
          <w:rFonts w:eastAsia="Calibri" w:cstheme="minorHAnsi"/>
          <w:b/>
          <w:sz w:val="24"/>
          <w:szCs w:val="24"/>
        </w:rPr>
      </w:pPr>
    </w:p>
    <w:sectPr w:rsidR="002F0FB4" w:rsidRPr="002F0FB4" w:rsidSect="002A04AF">
      <w:footerReference w:type="default" r:id="rId10"/>
      <w:pgSz w:w="11906" w:h="16838"/>
      <w:pgMar w:top="42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3F44D" w14:textId="77777777" w:rsidR="00E939B6" w:rsidRDefault="00E939B6" w:rsidP="008F631F">
      <w:r>
        <w:separator/>
      </w:r>
    </w:p>
  </w:endnote>
  <w:endnote w:type="continuationSeparator" w:id="0">
    <w:p w14:paraId="3DE910EA" w14:textId="77777777" w:rsidR="00E939B6" w:rsidRDefault="00E939B6"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EC32" w14:textId="55B550FF" w:rsidR="008F631F" w:rsidRDefault="008F631F" w:rsidP="008F631F">
    <w:pPr>
      <w:pStyle w:val="Altbilgi"/>
      <w:jc w:val="center"/>
    </w:pPr>
    <w:r w:rsidRPr="00AF666B">
      <w:rPr>
        <w:color w:val="002060"/>
      </w:rPr>
      <w:t>Adres:</w:t>
    </w:r>
    <w:r>
      <w:t xml:space="preserve"> Adalet Mah. Manas Bulvarı No:39 K:34 D:3408 Bayraklı /İZMİR</w:t>
    </w:r>
  </w:p>
  <w:p w14:paraId="27F130F6" w14:textId="5036F8DA" w:rsidR="008F631F" w:rsidRDefault="008F631F" w:rsidP="008F631F">
    <w:pPr>
      <w:pStyle w:val="Altbilgi"/>
      <w:jc w:val="center"/>
    </w:pPr>
    <w:r w:rsidRPr="00AF666B">
      <w:rPr>
        <w:color w:val="002060"/>
      </w:rPr>
      <w:t>Tel:</w:t>
    </w:r>
    <w:r>
      <w:t xml:space="preserve"> 0232 400 </w:t>
    </w:r>
    <w:proofErr w:type="gramStart"/>
    <w:r>
      <w:t xml:space="preserve">0189 </w:t>
    </w:r>
    <w:r w:rsidR="00AF666B">
      <w:t xml:space="preserve"> </w:t>
    </w:r>
    <w:r w:rsidRPr="00AF666B">
      <w:rPr>
        <w:color w:val="002060"/>
      </w:rPr>
      <w:t>E</w:t>
    </w:r>
    <w:proofErr w:type="gramEnd"/>
    <w:r w:rsidRPr="00AF666B">
      <w:rPr>
        <w:color w:val="002060"/>
      </w:rPr>
      <w:t xml:space="preserve">-posta: </w:t>
    </w:r>
    <w:r>
      <w:t>bilgi@hekimbirliksen</w:t>
    </w:r>
    <w:r w:rsidR="00013609">
      <w:t>.</w:t>
    </w:r>
    <w: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37B32" w14:textId="77777777" w:rsidR="00E939B6" w:rsidRDefault="00E939B6" w:rsidP="008F631F">
      <w:r>
        <w:separator/>
      </w:r>
    </w:p>
  </w:footnote>
  <w:footnote w:type="continuationSeparator" w:id="0">
    <w:p w14:paraId="1DCC778B" w14:textId="77777777" w:rsidR="00E939B6" w:rsidRDefault="00E939B6"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E2603"/>
    <w:multiLevelType w:val="multilevel"/>
    <w:tmpl w:val="041F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C8911BB"/>
    <w:multiLevelType w:val="hybridMultilevel"/>
    <w:tmpl w:val="EBF0E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13609"/>
    <w:rsid w:val="00021F84"/>
    <w:rsid w:val="00032F0C"/>
    <w:rsid w:val="0004141C"/>
    <w:rsid w:val="00175B72"/>
    <w:rsid w:val="001B4A2F"/>
    <w:rsid w:val="001D29CE"/>
    <w:rsid w:val="00272F2B"/>
    <w:rsid w:val="002A04AF"/>
    <w:rsid w:val="002F0B3E"/>
    <w:rsid w:val="002F0FB4"/>
    <w:rsid w:val="0035620F"/>
    <w:rsid w:val="003C0874"/>
    <w:rsid w:val="004404B4"/>
    <w:rsid w:val="004E40AF"/>
    <w:rsid w:val="0051361C"/>
    <w:rsid w:val="005177D5"/>
    <w:rsid w:val="005B381A"/>
    <w:rsid w:val="005B779A"/>
    <w:rsid w:val="005C13D4"/>
    <w:rsid w:val="005C7B9A"/>
    <w:rsid w:val="00641A98"/>
    <w:rsid w:val="00671982"/>
    <w:rsid w:val="006B4708"/>
    <w:rsid w:val="00727B7B"/>
    <w:rsid w:val="00751D29"/>
    <w:rsid w:val="00791A94"/>
    <w:rsid w:val="007D7AD2"/>
    <w:rsid w:val="00873A6C"/>
    <w:rsid w:val="008F631F"/>
    <w:rsid w:val="00912F30"/>
    <w:rsid w:val="00947D07"/>
    <w:rsid w:val="009D49A8"/>
    <w:rsid w:val="00A9316A"/>
    <w:rsid w:val="00AA0D8D"/>
    <w:rsid w:val="00AC3B4B"/>
    <w:rsid w:val="00AF666B"/>
    <w:rsid w:val="00B95439"/>
    <w:rsid w:val="00C44877"/>
    <w:rsid w:val="00C533DE"/>
    <w:rsid w:val="00CB7F15"/>
    <w:rsid w:val="00CD53C2"/>
    <w:rsid w:val="00D72EEF"/>
    <w:rsid w:val="00DC0829"/>
    <w:rsid w:val="00DE7548"/>
    <w:rsid w:val="00E058D7"/>
    <w:rsid w:val="00E319F1"/>
    <w:rsid w:val="00E47BB7"/>
    <w:rsid w:val="00E939B6"/>
    <w:rsid w:val="00ED5CA8"/>
    <w:rsid w:val="00F27EA8"/>
    <w:rsid w:val="00F36342"/>
    <w:rsid w:val="00F7796B"/>
    <w:rsid w:val="00F945A4"/>
    <w:rsid w:val="00FB3B7E"/>
    <w:rsid w:val="00FE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2A0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2A0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3C00D-F529-45D5-8338-6D058D2F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8209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2022-01-11T18:42:00Z</cp:lastPrinted>
  <dcterms:created xsi:type="dcterms:W3CDTF">2022-11-12T16:07:00Z</dcterms:created>
  <dcterms:modified xsi:type="dcterms:W3CDTF">2022-11-12T16:07:00Z</dcterms:modified>
</cp:coreProperties>
</file>