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color w:val="000000"/>
          <w:sz w:val="24"/>
          <w:szCs w:val="24"/>
        </w:rPr>
      </w:pPr>
      <w:r w:rsidDel="00000000" w:rsidR="00000000" w:rsidRPr="00000000">
        <w:rPr>
          <w:b w:val="1"/>
          <w:sz w:val="24"/>
          <w:szCs w:val="24"/>
          <w:rtl w:val="0"/>
        </w:rPr>
        <w:t xml:space="preserve">………… Başhekimliğine:</w:t>
      </w:r>
      <w:r w:rsidDel="00000000" w:rsidR="00000000" w:rsidRPr="00000000">
        <w:rPr>
          <w:rtl w:val="0"/>
        </w:rPr>
      </w:r>
    </w:p>
    <w:p w:rsidR="00000000" w:rsidDel="00000000" w:rsidP="00000000" w:rsidRDefault="00000000" w:rsidRPr="00000000" w14:paraId="00000002">
      <w:pPr>
        <w:rPr>
          <w:b w:val="1"/>
          <w:sz w:val="20"/>
          <w:szCs w:val="20"/>
        </w:rPr>
      </w:pPr>
      <w:r w:rsidDel="00000000" w:rsidR="00000000" w:rsidRPr="00000000">
        <w:rPr>
          <w:rtl w:val="0"/>
        </w:rPr>
      </w:r>
    </w:p>
    <w:p w:rsidR="00000000" w:rsidDel="00000000" w:rsidP="00000000" w:rsidRDefault="00000000" w:rsidRPr="00000000" w14:paraId="00000003">
      <w:pPr>
        <w:rPr>
          <w:b w:val="1"/>
          <w:sz w:val="20"/>
          <w:szCs w:val="20"/>
        </w:rPr>
      </w:pPr>
      <w:r w:rsidDel="00000000" w:rsidR="00000000" w:rsidRPr="00000000">
        <w:rPr>
          <w:rtl w:val="0"/>
        </w:rPr>
      </w:r>
    </w:p>
    <w:p w:rsidR="00000000" w:rsidDel="00000000" w:rsidP="00000000" w:rsidRDefault="00000000" w:rsidRPr="00000000" w14:paraId="00000004">
      <w:pPr>
        <w:rPr>
          <w:b w:val="1"/>
          <w:sz w:val="28"/>
          <w:szCs w:val="28"/>
        </w:rPr>
      </w:pPr>
      <w:r w:rsidDel="00000000" w:rsidR="00000000" w:rsidRPr="00000000">
        <w:rPr>
          <w:rtl w:val="0"/>
        </w:rPr>
      </w:r>
    </w:p>
    <w:p w:rsidR="00000000" w:rsidDel="00000000" w:rsidP="00000000" w:rsidRDefault="00000000" w:rsidRPr="00000000" w14:paraId="00000005">
      <w:pPr>
        <w:ind w:firstLine="709"/>
        <w:jc w:val="both"/>
        <w:rPr>
          <w:rFonts w:ascii="Times New Roman" w:cs="Times New Roman" w:eastAsia="Times New Roman" w:hAnsi="Times New Roman"/>
          <w:b w:val="1"/>
          <w:i w:val="1"/>
          <w:color w:val="000000"/>
          <w:sz w:val="24"/>
          <w:szCs w:val="24"/>
        </w:rPr>
      </w:pPr>
      <w:r w:rsidDel="00000000" w:rsidR="00000000" w:rsidRPr="00000000">
        <w:rPr>
          <w:rtl w:val="0"/>
        </w:rPr>
      </w:r>
    </w:p>
    <w:p w:rsidR="00000000" w:rsidDel="00000000" w:rsidP="00000000" w:rsidRDefault="00000000" w:rsidRPr="00000000" w14:paraId="00000006">
      <w:pPr>
        <w:ind w:firstLine="70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T.C Anayasa’nın 125. maddesinin </w:t>
      </w:r>
      <w:r w:rsidDel="00000000" w:rsidR="00000000" w:rsidRPr="00000000">
        <w:rPr>
          <w:rFonts w:ascii="Times New Roman" w:cs="Times New Roman" w:eastAsia="Times New Roman" w:hAnsi="Times New Roman"/>
          <w:b w:val="1"/>
          <w:i w:val="1"/>
          <w:sz w:val="24"/>
          <w:szCs w:val="24"/>
          <w:rtl w:val="0"/>
        </w:rPr>
        <w:t xml:space="preserve">birinci fıkrasında, idarenin her türlü eylem ve işlemlerine karşı yargı yolunun açık olduğu; yedinci fıkrasında da idarenin kendi eylem ve işlemlerinden doğan zararı ödemekle yükümlü bulunduğu hüküm altına alınmıştır. Böylelikle idarenin hukuka bağlılığı, yargı denetimi sayesinde etkili biçimde sağlanmış ve idare edilenler, idarenin kanunsuz ve keyfî davranışlarına karşı korunmuştur</w:t>
      </w:r>
      <w:r w:rsidDel="00000000" w:rsidR="00000000" w:rsidRPr="00000000">
        <w:rPr>
          <w:rFonts w:ascii="Times New Roman" w:cs="Times New Roman" w:eastAsia="Times New Roman" w:hAnsi="Times New Roman"/>
          <w:sz w:val="24"/>
          <w:szCs w:val="24"/>
          <w:rtl w:val="0"/>
        </w:rPr>
        <w:t xml:space="preserve">. (Anayasa Mahkemesi 2/5/2018 tarihli toplantısında </w:t>
      </w:r>
      <w:hyperlink r:id="rId6">
        <w:r w:rsidDel="00000000" w:rsidR="00000000" w:rsidRPr="00000000">
          <w:rPr>
            <w:rFonts w:ascii="Times New Roman" w:cs="Times New Roman" w:eastAsia="Times New Roman" w:hAnsi="Times New Roman"/>
            <w:color w:val="000000"/>
            <w:sz w:val="24"/>
            <w:szCs w:val="24"/>
            <w:u w:val="single"/>
            <w:rtl w:val="0"/>
          </w:rPr>
          <w:t xml:space="preserve">E.2018/2 </w:t>
        </w:r>
      </w:hyperlink>
      <w:r w:rsidDel="00000000" w:rsidR="00000000" w:rsidRPr="00000000">
        <w:rPr>
          <w:rFonts w:ascii="Times New Roman" w:cs="Times New Roman" w:eastAsia="Times New Roman" w:hAnsi="Times New Roman"/>
          <w:sz w:val="24"/>
          <w:szCs w:val="24"/>
          <w:rtl w:val="0"/>
        </w:rPr>
        <w:t xml:space="preserve">numaralı dosyada hakkındaki kararı 30/5/2018ND 12/18) </w:t>
      </w:r>
    </w:p>
    <w:p w:rsidR="00000000" w:rsidDel="00000000" w:rsidP="00000000" w:rsidRDefault="00000000" w:rsidRPr="00000000" w14:paraId="00000007">
      <w:pPr>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8">
      <w:pPr>
        <w:ind w:firstLine="708"/>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Bilindiği üzere, </w:t>
      </w:r>
      <w:r w:rsidDel="00000000" w:rsidR="00000000" w:rsidRPr="00000000">
        <w:rPr>
          <w:rFonts w:ascii="Times New Roman" w:cs="Times New Roman" w:eastAsia="Times New Roman" w:hAnsi="Times New Roman"/>
          <w:i w:val="1"/>
          <w:sz w:val="24"/>
          <w:szCs w:val="24"/>
          <w:rtl w:val="0"/>
        </w:rPr>
        <w:t xml:space="preserve">Anayasanın 2 nci maddesinde Devletin temel nitelikleri arasında hukuk devleti ilkesine yer verilmiş olup, hukuk devletinin temel ilkelerinden biri "belirlilik"tir. Bu ilkeye göre, hukuki düzenlemelerin hem kişiler hem de idare yönünden herhangi bir duraksamaya ve kuşkuya yer vermeyecek şekilde açık, net, anlaşılır, uygulanabilir ve nesnel olması, ayrıca kamu otoritelerinin keyfi uygulamalarına karşı koruyucu önlem içermesi de gereklidir. Belirlilik ilkesi, hukuksal güvenlikle bağlantılı olup birey, yasadan, belirli bir kesinlik içinde, hangi somut eylem ve olguya hangi hukuksal yaptırımın veya sonucun bağlandığını, bunların idareye hangi müdahale yetkisini doğurduğunu bilmelidir. Ayrıca, idarenin işlem tesis ederken hukuka bağlı olması ve hukuk kuralları içinde hareket etmesi hukuk devletinin bir diğer ilkesidir. Bu kapsamda, bir idari işlemin belli bir sebebe dayanması gerekmekte olup, idari işlemin dayanağı olan sebebin açıkça kanunlarda gösterilerek bağlı yetkinin bulunduğu durumlarda idarenin, kanunun koyduğu sınırlar içinde kalması, sebep ve konu yönünden kanun ile belirtilen koşullara uyması gerekir.</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AYM, 17/04/2008 Tarihli, E.2005/5, K.2008/93 sayılı Kararı).</w:t>
      </w:r>
    </w:p>
    <w:p w:rsidR="00000000" w:rsidDel="00000000" w:rsidP="00000000" w:rsidRDefault="00000000" w:rsidRPr="00000000" w14:paraId="00000009">
      <w:pPr>
        <w:ind w:firstLine="708"/>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A">
      <w:pPr>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566"/>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Sağlık Bakanlığı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TIPTA VE DİŞ HEKİMLİĞİNDE UZMANLIK EĞİTİMİ YÖNETMELİĞİ” Uzmanlık öğrencisi;</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566"/>
        <w:jc w:val="both"/>
        <w:rPr>
          <w:rFonts w:ascii="Times New Roman" w:cs="Times New Roman" w:eastAsia="Times New Roman" w:hAnsi="Times New Roman"/>
          <w:b w:val="0"/>
          <w:i w:val="0"/>
          <w:smallCaps w:val="0"/>
          <w:strike w:val="0"/>
          <w:color w:val="000000"/>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566"/>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MADDE 11-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Uzmanlık öğrencisi; kurumlarındaki kadro unvanı ne olursa olsun, bu Yönetmelik ve ilgili mevzuat hükümleri çerçevesinde programlarda uzmanlık eğitimi gören, araştırma ve uygulama yapan kişilerdir.</w:t>
      </w:r>
    </w:p>
    <w:p w:rsidR="00000000" w:rsidDel="00000000" w:rsidP="00000000" w:rsidRDefault="00000000" w:rsidRPr="00000000" w14:paraId="0000000E">
      <w:pPr>
        <w:jc w:val="both"/>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0F">
      <w:pPr>
        <w:ind w:firstLine="566"/>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(5) </w:t>
      </w:r>
      <w:r w:rsidDel="00000000" w:rsidR="00000000" w:rsidRPr="00000000">
        <w:rPr>
          <w:rFonts w:ascii="Times New Roman" w:cs="Times New Roman" w:eastAsia="Times New Roman" w:hAnsi="Times New Roman"/>
          <w:b w:val="1"/>
          <w:color w:val="000000"/>
          <w:sz w:val="24"/>
          <w:szCs w:val="24"/>
          <w:rtl w:val="0"/>
        </w:rPr>
        <w:t xml:space="preserve">Uzmanlık öğrencilerinin nöbet uygulaması üç günde birden daha sık olmamak kaydıyla ayda en fazla sekiz nöbet olacak şekilde düzenlenir. Gece nöbeti tutan uzmanlık öğrencileri nöbetin ertesi günü sağlık hizmeti sunumunda görev almaz. Bu hükmün uygulanmadığının tespit edilmesi halinde eğitim programları Kurulca değerlendirmeye alınır</w:t>
      </w:r>
      <w:r w:rsidDel="00000000" w:rsidR="00000000" w:rsidRPr="00000000">
        <w:rPr>
          <w:rFonts w:ascii="Times New Roman" w:cs="Times New Roman" w:eastAsia="Times New Roman" w:hAnsi="Times New Roman"/>
          <w:color w:val="000000"/>
          <w:sz w:val="24"/>
          <w:szCs w:val="24"/>
          <w:rtl w:val="0"/>
        </w:rPr>
        <w:t xml:space="preserve">. İhlâlin mahiyetine ve durumun gereklerine göre kurumun uyarılmasından, programın eğitim yetkisinin kaldırılmasına kadar hangi yaptırımın uygulanacağına Kurulca karar verilir.</w:t>
      </w:r>
    </w:p>
    <w:p w:rsidR="00000000" w:rsidDel="00000000" w:rsidP="00000000" w:rsidRDefault="00000000" w:rsidRPr="00000000" w14:paraId="00000010">
      <w:pPr>
        <w:ind w:firstLine="566"/>
        <w:jc w:val="both"/>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11">
      <w:pPr>
        <w:ind w:firstLine="70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Devlet memurlarının çalışma saatlerine ilişkin düzenlemeler çerçevesinde, genel olarak haftalık çalışma süresi 40 saat olarak belirlenmiş olmakla birlikte, kamu kurum ve kuruluşlarına günün 24 saatinde devamlılık gösteren hizmetlerde görev yapan memurların çalışma saatlerine ilişkin düzenleme yapma yetkisinin verildiği, belirlenen normal çalışma saatlerini aşan sürelerin ise fazla çalışma olarak değerlendirildiği, fazla çalışmaların ise izin veya ücret olarak karşılanmasının öngörüldüğü, fazla çalışmanın ücretle karşılanmasına ilişkin ilgili kanunlar ve toplu sözleşme hükümleri çerçevesinde kapsamın sınırlı olarak belirlendiği ve bu belirlenenler dışında fazla çalışmanın karşılığında izin verilmesinin benimsendiği anlaşılmaktadır.</w:t>
      </w:r>
    </w:p>
    <w:p w:rsidR="00000000" w:rsidDel="00000000" w:rsidP="00000000" w:rsidRDefault="00000000" w:rsidRPr="00000000" w14:paraId="00000012">
      <w:pPr>
        <w:ind w:firstLine="708"/>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3">
      <w:pPr>
        <w:ind w:firstLine="708"/>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Tıpta Uzmanlık Tüzüğü (Mülga) Resmi Gazete Tarihi: 19/06/2002 Resmi Gazete Sayısı: 24790Karar Sayısı: 2002/4198 </w:t>
      </w:r>
    </w:p>
    <w:p w:rsidR="00000000" w:rsidDel="00000000" w:rsidP="00000000" w:rsidRDefault="00000000" w:rsidRPr="00000000" w14:paraId="00000014">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5">
      <w:pPr>
        <w:shd w:fill="ffffff" w:val="clear"/>
        <w:spacing w:after="150" w:lineRule="auto"/>
        <w:ind w:firstLine="708"/>
        <w:jc w:val="both"/>
        <w:rPr>
          <w:rFonts w:ascii="Times New Roman" w:cs="Times New Roman" w:eastAsia="Times New Roman" w:hAnsi="Times New Roman"/>
          <w:color w:val="444444"/>
          <w:sz w:val="24"/>
          <w:szCs w:val="24"/>
        </w:rPr>
      </w:pPr>
      <w:r w:rsidDel="00000000" w:rsidR="00000000" w:rsidRPr="00000000">
        <w:rPr>
          <w:rFonts w:ascii="Times New Roman" w:cs="Times New Roman" w:eastAsia="Times New Roman" w:hAnsi="Times New Roman"/>
          <w:b w:val="1"/>
          <w:color w:val="444444"/>
          <w:sz w:val="24"/>
          <w:szCs w:val="24"/>
          <w:rtl w:val="0"/>
        </w:rPr>
        <w:t xml:space="preserve">UZMANLIK YETKİSİNİN KULLANILMASI</w:t>
      </w:r>
      <w:r w:rsidDel="00000000" w:rsidR="00000000" w:rsidRPr="00000000">
        <w:rPr>
          <w:rtl w:val="0"/>
        </w:rPr>
      </w:r>
    </w:p>
    <w:p w:rsidR="00000000" w:rsidDel="00000000" w:rsidP="00000000" w:rsidRDefault="00000000" w:rsidRPr="00000000" w14:paraId="00000016">
      <w:pPr>
        <w:shd w:fill="ffffff" w:val="clear"/>
        <w:spacing w:after="150" w:lineRule="auto"/>
        <w:ind w:firstLine="566"/>
        <w:jc w:val="both"/>
        <w:rPr>
          <w:rFonts w:ascii="Times New Roman" w:cs="Times New Roman" w:eastAsia="Times New Roman" w:hAnsi="Times New Roman"/>
          <w:color w:val="444444"/>
          <w:sz w:val="24"/>
          <w:szCs w:val="24"/>
        </w:rPr>
      </w:pPr>
      <w:r w:rsidDel="00000000" w:rsidR="00000000" w:rsidRPr="00000000">
        <w:rPr>
          <w:rFonts w:ascii="Times New Roman" w:cs="Times New Roman" w:eastAsia="Times New Roman" w:hAnsi="Times New Roman"/>
          <w:b w:val="1"/>
          <w:color w:val="444444"/>
          <w:sz w:val="24"/>
          <w:szCs w:val="24"/>
          <w:rtl w:val="0"/>
        </w:rPr>
        <w:t xml:space="preserve">Madde 4 -</w:t>
      </w:r>
      <w:r w:rsidDel="00000000" w:rsidR="00000000" w:rsidRPr="00000000">
        <w:rPr>
          <w:rFonts w:ascii="Times New Roman" w:cs="Times New Roman" w:eastAsia="Times New Roman" w:hAnsi="Times New Roman"/>
          <w:color w:val="444444"/>
          <w:sz w:val="24"/>
          <w:szCs w:val="24"/>
          <w:rtl w:val="0"/>
        </w:rPr>
        <w:t xml:space="preserve"> Bu Tüzük hükümlerine göre uzmanlık belgesi almayanlar, hiçbir yerde ve şekilde uzmanlık unvan ve yetkisini kullanamazlar ve uzmanlıkla ilgili tıbbi faaliyette bulunamazlar.</w:t>
      </w:r>
    </w:p>
    <w:p w:rsidR="00000000" w:rsidDel="00000000" w:rsidP="00000000" w:rsidRDefault="00000000" w:rsidRPr="00000000" w14:paraId="00000017">
      <w:pPr>
        <w:ind w:firstLine="70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Üyemiz uzmanlık öğrencisi olup asistan olarak görev yapmaktadır. Aşağıda ki genelge ile asistan uzmanlık öğrencilerin eğitiminin nasıl olacağı hastalar hakkında ki sorumluklarının neler olduğu açıkça yazmaktadır.</w:t>
      </w:r>
    </w:p>
    <w:p w:rsidR="00000000" w:rsidDel="00000000" w:rsidP="00000000" w:rsidRDefault="00000000" w:rsidRPr="00000000" w14:paraId="00000018">
      <w:pPr>
        <w:ind w:firstLine="708"/>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9">
      <w:pPr>
        <w:spacing w:after="200" w:line="276" w:lineRule="auto"/>
        <w:ind w:firstLine="70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0" distT="0" distL="0" distR="0">
            <wp:extent cx="5760720" cy="2035789"/>
            <wp:effectExtent b="0" l="0" r="0" t="0"/>
            <wp:docPr id="1"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5760720" cy="2035789"/>
                    </a:xfrm>
                    <a:prstGeom prst="rect"/>
                    <a:ln/>
                  </pic:spPr>
                </pic:pic>
              </a:graphicData>
            </a:graphic>
          </wp:inline>
        </w:drawing>
      </w:r>
      <w:r w:rsidDel="00000000" w:rsidR="00000000" w:rsidRPr="00000000">
        <w:rPr>
          <w:rtl w:val="0"/>
        </w:rPr>
      </w:r>
    </w:p>
    <w:p w:rsidR="00000000" w:rsidDel="00000000" w:rsidP="00000000" w:rsidRDefault="00000000" w:rsidRPr="00000000" w14:paraId="0000001A">
      <w:pPr>
        <w:ind w:firstLine="708"/>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B">
      <w:pPr>
        <w:ind w:firstLine="708"/>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C">
      <w:pPr>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D">
      <w:pPr>
        <w:ind w:firstLine="70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Aynı genelgede açıkça yazıldığı üzere asistan hekimler uzman hekimlerin gözetiminde hastalara müdahale eder. Tek başlarına hastaya müdahale etmeleri için uzman bir hekimin gözetiminde işlem yapmaları gereklidir.</w:t>
      </w:r>
    </w:p>
    <w:p w:rsidR="00000000" w:rsidDel="00000000" w:rsidP="00000000" w:rsidRDefault="00000000" w:rsidRPr="00000000" w14:paraId="0000001E">
      <w:pPr>
        <w:ind w:firstLine="708"/>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F">
      <w:pPr>
        <w:ind w:firstLine="708"/>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0">
      <w:pPr>
        <w:ind w:firstLine="708"/>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0" distT="0" distL="0" distR="0">
            <wp:extent cx="6319781" cy="1852330"/>
            <wp:effectExtent b="0" l="0" r="0" t="0"/>
            <wp:docPr id="2"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6319781" cy="1852330"/>
                    </a:xfrm>
                    <a:prstGeom prst="rect"/>
                    <a:ln/>
                  </pic:spPr>
                </pic:pic>
              </a:graphicData>
            </a:graphic>
          </wp:inline>
        </w:drawing>
      </w:r>
      <w:r w:rsidDel="00000000" w:rsidR="00000000" w:rsidRPr="00000000">
        <w:rPr>
          <w:rtl w:val="0"/>
        </w:rPr>
      </w:r>
    </w:p>
    <w:p w:rsidR="00000000" w:rsidDel="00000000" w:rsidP="00000000" w:rsidRDefault="00000000" w:rsidRPr="00000000" w14:paraId="00000021">
      <w:pPr>
        <w:ind w:firstLine="708"/>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2">
      <w:pPr>
        <w:spacing w:after="200" w:line="276" w:lineRule="auto"/>
        <w:ind w:firstLine="708"/>
        <w:jc w:val="both"/>
        <w:rPr/>
      </w:pPr>
      <w:r w:rsidDel="00000000" w:rsidR="00000000" w:rsidRPr="00000000">
        <w:rPr>
          <w:rtl w:val="0"/>
        </w:rPr>
        <w:t xml:space="preserve">Öğretim üyelerinin mesai saatleri dışında üniversitede sundukları sağlık hizmetlerinden dolayı 31.05.2006 tarihli ve 5510 sayılı Sosyal Sigortalar ve Genel Sağlık Sigortası Kanununun 73 üncü maddesinin üçüncü fıkrası uyarınca alınan ilave ücretler döner sermaye işletmesinin Mesai Dışı Özel (MDÖ) işlemler hesabında ayrı toplanır. Bu madde kapsamında alınan ücretlerden hazine payı kesintisi ve Kanunun 58 inci maddesinin (b) fıkrası uyarınca kesinti yapılmaz.</w:t>
      </w:r>
    </w:p>
    <w:p w:rsidR="00000000" w:rsidDel="00000000" w:rsidP="00000000" w:rsidRDefault="00000000" w:rsidRPr="00000000" w14:paraId="00000023">
      <w:pPr>
        <w:ind w:firstLine="708"/>
        <w:jc w:val="both"/>
        <w:rPr/>
      </w:pPr>
      <w:r w:rsidDel="00000000" w:rsidR="00000000" w:rsidRPr="00000000">
        <w:rPr>
          <w:rtl w:val="0"/>
        </w:rPr>
        <w:t xml:space="preserve">Anayasanın 18. maddesinde düzenlenen ve angaryayı yasaklayan hükmü ile 55. maddesinde düzenlenen ve devlete çalışanlarının yaptıkları işe uygun adaletli bir ücret elde etmeleri için pozitif yükümlülük yükleyen hükmü olduğu aşikardır.</w:t>
      </w:r>
    </w:p>
    <w:p w:rsidR="00000000" w:rsidDel="00000000" w:rsidP="00000000" w:rsidRDefault="00000000" w:rsidRPr="00000000" w14:paraId="00000024">
      <w:pPr>
        <w:ind w:firstLine="708"/>
        <w:jc w:val="both"/>
        <w:rPr/>
      </w:pPr>
      <w:r w:rsidDel="00000000" w:rsidR="00000000" w:rsidRPr="00000000">
        <w:rPr>
          <w:rtl w:val="0"/>
        </w:rPr>
      </w:r>
    </w:p>
    <w:p w:rsidR="00000000" w:rsidDel="00000000" w:rsidP="00000000" w:rsidRDefault="00000000" w:rsidRPr="00000000" w14:paraId="00000025">
      <w:pPr>
        <w:ind w:firstLine="708"/>
        <w:jc w:val="both"/>
        <w:rPr>
          <w:rFonts w:ascii="Times New Roman" w:cs="Times New Roman" w:eastAsia="Times New Roman" w:hAnsi="Times New Roman"/>
          <w:b w:val="1"/>
          <w:sz w:val="24"/>
          <w:szCs w:val="24"/>
        </w:rPr>
      </w:pPr>
      <w:r w:rsidDel="00000000" w:rsidR="00000000" w:rsidRPr="00000000">
        <w:rPr>
          <w:rtl w:val="0"/>
        </w:rPr>
        <w:t xml:space="preserve">Aşağıda görüldüğü üzere T.C. KAHRAMANMARAŞ SÜTÇÜ İMAM ÜNİVERSİTESİ tarafından yayımlanan emsal yönergeyi dikkatinize sunarım.</w:t>
      </w:r>
      <w:r w:rsidDel="00000000" w:rsidR="00000000" w:rsidRPr="00000000">
        <w:rPr>
          <w:rtl w:val="0"/>
        </w:rPr>
      </w:r>
    </w:p>
    <w:p w:rsidR="00000000" w:rsidDel="00000000" w:rsidP="00000000" w:rsidRDefault="00000000" w:rsidRPr="00000000" w14:paraId="00000026">
      <w:pPr>
        <w:spacing w:after="200" w:line="276" w:lineRule="auto"/>
        <w:ind w:firstLine="708"/>
        <w:jc w:val="both"/>
        <w:rPr/>
      </w:pPr>
      <w:r w:rsidDel="00000000" w:rsidR="00000000" w:rsidRPr="00000000">
        <w:rPr>
          <w:rtl w:val="0"/>
        </w:rPr>
        <w:t xml:space="preserve">T.C. KAHRAMANMARAŞ SÜTÇÜ İMAM ÜNİVERSİTESİ SAĞLIK UYGULAMA VE ARAŞTIRMA HASTANESİ ÖĞRETİM ÜYELERİ TARAFINDAN İLAVE ÜCRETLE MESAİ SAATLERİ DIŞINDA BİZZAT VERİLEN SAĞLIK HİZMETLERİNDE ÜCRETLENDİRME, ÖDEME USUL VE ESASLARI:</w:t>
      </w:r>
    </w:p>
    <w:p w:rsidR="00000000" w:rsidDel="00000000" w:rsidP="00000000" w:rsidRDefault="00000000" w:rsidRPr="00000000" w14:paraId="00000027">
      <w:pPr>
        <w:spacing w:after="200" w:line="276" w:lineRule="auto"/>
        <w:ind w:firstLine="708"/>
        <w:jc w:val="both"/>
        <w:rPr/>
      </w:pPr>
      <w:r w:rsidDel="00000000" w:rsidR="00000000" w:rsidRPr="00000000">
        <w:rPr>
          <w:rtl w:val="0"/>
        </w:rPr>
        <w:t xml:space="preserve">5.6.Ameliyat ve girişimsel işlem uygulamalarında kişilerden alınacak ilave ücretin diğer personele dağıtılması; </w:t>
      </w:r>
    </w:p>
    <w:p w:rsidR="00000000" w:rsidDel="00000000" w:rsidP="00000000" w:rsidRDefault="00000000" w:rsidRPr="00000000" w14:paraId="00000028">
      <w:pPr>
        <w:spacing w:after="200" w:line="276" w:lineRule="auto"/>
        <w:ind w:firstLine="708"/>
        <w:jc w:val="both"/>
        <w:rPr/>
      </w:pPr>
      <w:r w:rsidDel="00000000" w:rsidR="00000000" w:rsidRPr="00000000">
        <w:rPr>
          <w:rtl w:val="0"/>
        </w:rPr>
        <w:t xml:space="preserve">a) Yapılan işlemin anestezi uzmanı gerektirmesi durumunda brüt olarak tahsil edilen tutarın %50’lik kısmının %70’i işlemi yapan öğretim üyesinin, %30’u ise anestezi öğretim üyesinin hesabına kaydedilir. </w:t>
      </w:r>
    </w:p>
    <w:p w:rsidR="00000000" w:rsidDel="00000000" w:rsidP="00000000" w:rsidRDefault="00000000" w:rsidRPr="00000000" w14:paraId="00000029">
      <w:pPr>
        <w:spacing w:after="200" w:line="276" w:lineRule="auto"/>
        <w:ind w:firstLine="708"/>
        <w:jc w:val="both"/>
        <w:rPr/>
      </w:pPr>
      <w:r w:rsidDel="00000000" w:rsidR="00000000" w:rsidRPr="00000000">
        <w:rPr>
          <w:rtl w:val="0"/>
        </w:rPr>
        <w:t xml:space="preserve">b) Birden fazla branşın katıldığı anestezi uzmanı gerektiren ameliyat ve girişimsel işlemlerde, brüt olarak tahsil edilen tutarın %50’lik kısmının esas ameliyat hizmetini veren cerrahi öğretim üyesi hesabına %60’ı, anestezi öğretim üyesi hesabına %25’i, diğer cerrahi branş öğretim üyesi hesabına %15’i kaydedilir.</w:t>
      </w:r>
    </w:p>
    <w:p w:rsidR="00000000" w:rsidDel="00000000" w:rsidP="00000000" w:rsidRDefault="00000000" w:rsidRPr="00000000" w14:paraId="0000002A">
      <w:pPr>
        <w:spacing w:after="200" w:line="276" w:lineRule="auto"/>
        <w:ind w:firstLine="708"/>
        <w:jc w:val="both"/>
        <w:rPr/>
      </w:pPr>
      <w:r w:rsidDel="00000000" w:rsidR="00000000" w:rsidRPr="00000000">
        <w:rPr>
          <w:rtl w:val="0"/>
        </w:rPr>
        <w:t xml:space="preserve"> c) Paket ameliyatlarda patoloji hizmetinin patoloji öğretim üyesi tarafından verilmesi durumunda brüt tutarın %5’i patoloji öğretim üyesinin hesabına kaydedilir. Bu durumda a ve b bendinde geçen % 50 lik kısım % 45 olarak hesaba katılır.</w:t>
      </w:r>
    </w:p>
    <w:p w:rsidR="00000000" w:rsidDel="00000000" w:rsidP="00000000" w:rsidRDefault="00000000" w:rsidRPr="00000000" w14:paraId="0000002B">
      <w:pPr>
        <w:spacing w:after="200" w:line="276" w:lineRule="auto"/>
        <w:ind w:firstLine="708"/>
        <w:jc w:val="both"/>
        <w:rPr/>
      </w:pPr>
      <w:r w:rsidDel="00000000" w:rsidR="00000000" w:rsidRPr="00000000">
        <w:rPr>
          <w:rtl w:val="0"/>
        </w:rPr>
        <w:t xml:space="preserve">5.7.Ameliyat ve girişimsel işlem uygulamalarında kişilerden alınacak ilave ücretin diğer personele dağıtılması;</w:t>
      </w:r>
    </w:p>
    <w:p w:rsidR="00000000" w:rsidDel="00000000" w:rsidP="00000000" w:rsidRDefault="00000000" w:rsidRPr="00000000" w14:paraId="0000002C">
      <w:pPr>
        <w:spacing w:after="200" w:line="276" w:lineRule="auto"/>
        <w:ind w:firstLine="708"/>
        <w:jc w:val="both"/>
        <w:rPr/>
      </w:pPr>
      <w:r w:rsidDel="00000000" w:rsidR="00000000" w:rsidRPr="00000000">
        <w:rPr>
          <w:rtl w:val="0"/>
        </w:rPr>
        <w:t xml:space="preserve">a) Kalan miktar; nöbet hizmetleri hariç olmak üzere, ilave ücret alınarak yapılan hizmete mesai dışında katkıda bulunan diğer personele, mesai saatleri dışında gelir getirici çalışmalarından doğan katkılarına karşılık olarak kalan miktarın % 20'sini geçmeyecek şekilde dağıtılır.</w:t>
      </w:r>
    </w:p>
    <w:p w:rsidR="00000000" w:rsidDel="00000000" w:rsidP="00000000" w:rsidRDefault="00000000" w:rsidRPr="00000000" w14:paraId="0000002D">
      <w:pPr>
        <w:spacing w:after="200" w:line="276" w:lineRule="auto"/>
        <w:ind w:firstLine="708"/>
        <w:jc w:val="both"/>
        <w:rPr/>
      </w:pPr>
      <w:r w:rsidDel="00000000" w:rsidR="00000000" w:rsidRPr="00000000">
        <w:rPr>
          <w:rtl w:val="0"/>
        </w:rPr>
        <w:t xml:space="preserve">Üniversite öğretim üyeleri tarafından ilave ücretle mesai saatleri dışında bizzat verilen sağlık hizmetlerinin gerçekleştirilmesi nedeni ile mesai saatleri dışında yapılan girişimsel işlemler nedeni ile üyemiz asistanların mağdur olduğu şeklinde bilgiler tarafımıza ulaşmaktadır.</w:t>
      </w:r>
    </w:p>
    <w:p w:rsidR="00000000" w:rsidDel="00000000" w:rsidP="00000000" w:rsidRDefault="00000000" w:rsidRPr="00000000" w14:paraId="0000002E">
      <w:pPr>
        <w:spacing w:after="200" w:line="276" w:lineRule="auto"/>
        <w:ind w:firstLine="708"/>
        <w:jc w:val="both"/>
        <w:rPr/>
      </w:pPr>
      <w:r w:rsidDel="00000000" w:rsidR="00000000" w:rsidRPr="00000000">
        <w:rPr>
          <w:rtl w:val="0"/>
        </w:rPr>
        <w:t xml:space="preserve">Sonuç olarak y</w:t>
      </w:r>
      <w:r w:rsidDel="00000000" w:rsidR="00000000" w:rsidRPr="00000000">
        <w:rPr>
          <w:rFonts w:ascii="Times New Roman" w:cs="Times New Roman" w:eastAsia="Times New Roman" w:hAnsi="Times New Roman"/>
          <w:b w:val="1"/>
          <w:sz w:val="24"/>
          <w:szCs w:val="24"/>
          <w:rtl w:val="0"/>
        </w:rPr>
        <w:t xml:space="preserve">ukarıda ayrıntıları ile açıklanan hukuki gerekçelere istinaden </w:t>
      </w:r>
      <w:r w:rsidDel="00000000" w:rsidR="00000000" w:rsidRPr="00000000">
        <w:rPr>
          <w:rtl w:val="0"/>
        </w:rPr>
      </w:r>
    </w:p>
    <w:p w:rsidR="00000000" w:rsidDel="00000000" w:rsidP="00000000" w:rsidRDefault="00000000" w:rsidRPr="00000000" w14:paraId="0000002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068" w:right="0" w:hanging="360"/>
        <w:jc w:val="both"/>
        <w:rPr>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Mesai dışı özel öğretim üyesi cerrahi işlemlerin mesai saatleri dışında yani saat 17:00 den sonra alınmasını</w:t>
      </w:r>
      <w:r w:rsidDel="00000000" w:rsidR="00000000" w:rsidRPr="00000000">
        <w:rPr>
          <w:rtl w:val="0"/>
        </w:rPr>
      </w:r>
    </w:p>
    <w:p w:rsidR="00000000" w:rsidDel="00000000" w:rsidP="00000000" w:rsidRDefault="00000000" w:rsidRPr="00000000" w14:paraId="0000003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068" w:right="0" w:hanging="360"/>
        <w:jc w:val="both"/>
        <w:rPr>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Mesai dışı özel öğretim üyesi cerrahi işlemlerin bizzat fiş kesilen öğretim üyelerinin kendisi tarafından yapılmasını(anestezi işleminin ilgili öğretim üyesinin bizzat tarafınca verilmesi, vaka bitimine kadar vakanın başından ayrılmamasını, ameliyatın bizzat ilgili öğretim üyesince yapılmasını)</w:t>
      </w:r>
      <w:r w:rsidDel="00000000" w:rsidR="00000000" w:rsidRPr="00000000">
        <w:rPr>
          <w:rtl w:val="0"/>
        </w:rPr>
      </w:r>
    </w:p>
    <w:p w:rsidR="00000000" w:rsidDel="00000000" w:rsidP="00000000" w:rsidRDefault="00000000" w:rsidRPr="00000000" w14:paraId="0000003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068" w:right="0" w:hanging="360"/>
        <w:jc w:val="both"/>
        <w:rPr>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Mesai dışı özel öğretim üyesi cerrahi işlemlere asistanların gönüllü olarak katılmasının sağlanmasını</w:t>
      </w:r>
      <w:r w:rsidDel="00000000" w:rsidR="00000000" w:rsidRPr="00000000">
        <w:rPr>
          <w:rtl w:val="0"/>
        </w:rPr>
      </w:r>
    </w:p>
    <w:p w:rsidR="00000000" w:rsidDel="00000000" w:rsidP="00000000" w:rsidRDefault="00000000" w:rsidRPr="00000000" w14:paraId="0000003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068" w:right="0" w:hanging="360"/>
        <w:jc w:val="both"/>
        <w:rPr>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Mesai dışı özel öğretim üyesi cerrahi işlemlere nöbetçi asistanların girmesi için zorlanmamasını</w:t>
      </w:r>
      <w:r w:rsidDel="00000000" w:rsidR="00000000" w:rsidRPr="00000000">
        <w:rPr>
          <w:rtl w:val="0"/>
        </w:rPr>
      </w:r>
    </w:p>
    <w:p w:rsidR="00000000" w:rsidDel="00000000" w:rsidP="00000000" w:rsidRDefault="00000000" w:rsidRPr="00000000" w14:paraId="0000003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068" w:right="0" w:hanging="360"/>
        <w:jc w:val="both"/>
        <w:rPr>
          <w:i w:val="0"/>
          <w:smallCaps w:val="0"/>
          <w:strike w:val="0"/>
          <w:color w:val="00000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Mesai dışı özel öğretim üyesi cerrahi işlemlere gönüllü giren asistanlara fazla mesai ücretlerinin ödenmesini</w:t>
      </w:r>
      <w:r w:rsidDel="00000000" w:rsidR="00000000" w:rsidRPr="00000000">
        <w:rPr>
          <w:rtl w:val="0"/>
        </w:rPr>
      </w:r>
    </w:p>
    <w:p w:rsidR="00000000" w:rsidDel="00000000" w:rsidP="00000000" w:rsidRDefault="00000000" w:rsidRPr="00000000" w14:paraId="0000003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1068" w:right="0" w:hanging="360"/>
        <w:jc w:val="both"/>
        <w:rPr>
          <w:i w:val="0"/>
          <w:smallCaps w:val="0"/>
          <w:strike w:val="0"/>
          <w:color w:val="000000"/>
          <w:u w:val="none"/>
          <w:shd w:fill="auto" w:val="clear"/>
          <w:vertAlign w:val="baseline"/>
        </w:rPr>
      </w:pPr>
      <w:bookmarkStart w:colFirst="0" w:colLast="0" w:name="_gjdgxs" w:id="0"/>
      <w:bookmarkEnd w:id="0"/>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Mesai dışı özel öğretim üyesi cerrahi işlemlere gönüllü giren asistan hekimlere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ameliyat ve girişimsel işlem uygulamalarında kişilerden alınacak ilave ücretlerden pay verilmesini talep ederiz. Saygılarımla</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r w:rsidDel="00000000" w:rsidR="00000000" w:rsidRPr="00000000">
        <w:rPr>
          <w:rtl w:val="0"/>
        </w:rPr>
      </w:r>
    </w:p>
    <w:sectPr>
      <w:footerReference r:id="rId9" w:type="default"/>
      <w:pgSz w:h="16838" w:w="11906" w:orient="portrait"/>
      <w:pgMar w:bottom="1417" w:top="426"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068" w:hanging="360"/>
      </w:pPr>
      <w:rPr>
        <w:rFonts w:ascii="Calibri" w:cs="Calibri" w:eastAsia="Calibri" w:hAnsi="Calibri"/>
        <w:b w:val="0"/>
        <w:sz w:val="22"/>
        <w:szCs w:val="22"/>
      </w:rPr>
    </w:lvl>
    <w:lvl w:ilvl="1">
      <w:start w:val="1"/>
      <w:numFmt w:val="lowerLetter"/>
      <w:lvlText w:val="%2."/>
      <w:lvlJc w:val="left"/>
      <w:pPr>
        <w:ind w:left="1788" w:hanging="360"/>
      </w:pPr>
      <w:rPr/>
    </w:lvl>
    <w:lvl w:ilvl="2">
      <w:start w:val="1"/>
      <w:numFmt w:val="lowerRoman"/>
      <w:lvlText w:val="%3."/>
      <w:lvlJc w:val="right"/>
      <w:pPr>
        <w:ind w:left="2508" w:hanging="180"/>
      </w:pPr>
      <w:rPr/>
    </w:lvl>
    <w:lvl w:ilvl="3">
      <w:start w:val="1"/>
      <w:numFmt w:val="decimal"/>
      <w:lvlText w:val="%4."/>
      <w:lvlJc w:val="left"/>
      <w:pPr>
        <w:ind w:left="3228" w:hanging="360"/>
      </w:pPr>
      <w:rPr/>
    </w:lvl>
    <w:lvl w:ilvl="4">
      <w:start w:val="1"/>
      <w:numFmt w:val="lowerLetter"/>
      <w:lvlText w:val="%5."/>
      <w:lvlJc w:val="left"/>
      <w:pPr>
        <w:ind w:left="3948" w:hanging="360"/>
      </w:pPr>
      <w:rPr/>
    </w:lvl>
    <w:lvl w:ilvl="5">
      <w:start w:val="1"/>
      <w:numFmt w:val="lowerRoman"/>
      <w:lvlText w:val="%6."/>
      <w:lvlJc w:val="right"/>
      <w:pPr>
        <w:ind w:left="4668" w:hanging="180"/>
      </w:pPr>
      <w:rPr/>
    </w:lvl>
    <w:lvl w:ilvl="6">
      <w:start w:val="1"/>
      <w:numFmt w:val="decimal"/>
      <w:lvlText w:val="%7."/>
      <w:lvlJc w:val="left"/>
      <w:pPr>
        <w:ind w:left="5388" w:hanging="360"/>
      </w:pPr>
      <w:rPr/>
    </w:lvl>
    <w:lvl w:ilvl="7">
      <w:start w:val="1"/>
      <w:numFmt w:val="lowerLetter"/>
      <w:lvlText w:val="%8."/>
      <w:lvlJc w:val="left"/>
      <w:pPr>
        <w:ind w:left="6108" w:hanging="360"/>
      </w:pPr>
      <w:rPr/>
    </w:lvl>
    <w:lvl w:ilvl="8">
      <w:start w:val="1"/>
      <w:numFmt w:val="lowerRoman"/>
      <w:lvlText w:val="%9."/>
      <w:lvlJc w:val="right"/>
      <w:pPr>
        <w:ind w:left="6828"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tr-TR"/>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hyperlink" Target="http://kararlaryeni.anayasa.gov.tr/Karar/Content/1812cbf7-85ed-4fb8-8a10-dd2b38a6ab28?excludeGerekce=False&amp;wordsOnly=False" TargetMode="External"/><Relationship Id="rId7" Type="http://schemas.openxmlformats.org/officeDocument/2006/relationships/image" Target="media/image1.png"/><Relationship Id="rId8"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